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13EBB">
      <w:pPr>
        <w:ind w:firstLine="480"/>
      </w:pPr>
      <w:bookmarkStart w:id="0" w:name="OLE_LINK8"/>
      <w:r>
        <w:rPr>
          <w:rFonts w:hint="eastAsia"/>
        </w:rPr>
        <w:t>基于上述代理模型原理和最佳模态，构建POD-RBFLP磁场降阶模型，本项目以拉丁超立方采样方法得到的25组工况作为测试集进行验证，其设计点分布如图3-63所示。采用POD-RBFLP降阶模型和COMSOL全阶仿真对变压器绕组磁场进行求解，通过平均绝对误差和平均相对误差进行结果对比，同时将平均相对误差化为百分比形式以更直观地表现结果，见图3-55。</w:t>
      </w:r>
    </w:p>
    <w:bookmarkEnd w:id="0"/>
    <w:p w14:paraId="115092A8">
      <w:pPr>
        <w:ind w:firstLine="480"/>
        <w:jc w:val="center"/>
        <w:rPr>
          <w:rFonts w:ascii="方正仿宋_GB2312" w:hAnsi="方正仿宋_GB2312" w:eastAsia="方正仿宋_GB2312" w:cs="方正仿宋_GB2312"/>
          <w:color w:val="000000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Cs w:val="28"/>
        </w:rPr>
        <w:drawing>
          <wp:inline distT="0" distB="0" distL="114300" distR="114300">
            <wp:extent cx="2842260" cy="2169795"/>
            <wp:effectExtent l="0" t="0" r="0" b="0"/>
            <wp:docPr id="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0149">
      <w:pPr>
        <w:pStyle w:val="37"/>
        <w:ind w:firstLine="420"/>
      </w:pPr>
      <w:r>
        <w:rPr>
          <w:rFonts w:hint="eastAsia"/>
        </w:rPr>
        <w:t>图3-55 负载率测试集的设计点</w:t>
      </w:r>
    </w:p>
    <w:p w14:paraId="1C992796">
      <w:pPr>
        <w:ind w:firstLine="480"/>
      </w:pPr>
      <w:r>
        <w:rPr>
          <w:rFonts w:hint="eastAsia"/>
        </w:rPr>
        <w:t>并将POD-RBFLP降阶模型的计算结果与COMSOL仿真结果进行对比。全场域计算误差的定义见式</w:t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instrText xml:space="preserve">3</w:instrText>
      </w:r>
      <w:r>
        <w:fldChar w:fldCharType="end"/>
      </w:r>
      <w:r>
        <w:instrText xml:space="preserve">-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38</w:instrText>
      </w:r>
      <w:r>
        <w:fldChar w:fldCharType="end"/>
      </w:r>
      <w:r>
        <w:instrText xml:space="preserve">)</w:instrText>
      </w:r>
      <w:r>
        <w:fldChar w:fldCharType="separate"/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instrText xml:space="preserve">3</w:instrText>
      </w:r>
      <w:r>
        <w:fldChar w:fldCharType="end"/>
      </w:r>
      <w:r>
        <w:instrText xml:space="preserve">-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39</w:instrText>
      </w:r>
      <w:r>
        <w:fldChar w:fldCharType="end"/>
      </w:r>
      <w:r>
        <w:instrText xml:space="preserve">)</w:instrText>
      </w:r>
      <w:r>
        <w:fldChar w:fldCharType="separate"/>
      </w:r>
      <w:r>
        <w:fldChar w:fldCharType="end"/>
      </w:r>
      <w:r>
        <w:rPr>
          <w:rFonts w:hint="eastAsia"/>
        </w:rPr>
        <w:t>。</w:t>
      </w:r>
    </w:p>
    <w:p w14:paraId="3A9065B5">
      <w:pPr>
        <w:pStyle w:val="38"/>
      </w:pPr>
      <w:r>
        <w:tab/>
      </w:r>
      <w:r>
        <w:rPr>
          <w:position w:val="-30"/>
        </w:rPr>
        <w:object>
          <v:shape id="_x0000_i1025" o:spt="75" type="#_x0000_t75" style="height:36pt;width:159.0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instrText xml:space="preserve">3</w:instrText>
      </w:r>
      <w:r>
        <w:fldChar w:fldCharType="end"/>
      </w:r>
      <w:r>
        <w:instrText xml:space="preserve">-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40</w:instrText>
      </w:r>
      <w:r>
        <w:fldChar w:fldCharType="end"/>
      </w:r>
      <w:r>
        <w:instrText xml:space="preserve">)</w:instrText>
      </w:r>
      <w:r>
        <w:fldChar w:fldCharType="separate"/>
      </w:r>
      <w:r>
        <w:fldChar w:fldCharType="end"/>
      </w:r>
    </w:p>
    <w:p w14:paraId="509A9DC8">
      <w:pPr>
        <w:pStyle w:val="38"/>
      </w:pPr>
      <w:r>
        <w:tab/>
      </w:r>
      <w:r>
        <w:rPr>
          <w:position w:val="-32"/>
        </w:rPr>
        <w:object>
          <v:shape id="_x0000_i1026" o:spt="75" type="#_x0000_t75" style="height:38.5pt;width:194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instrText xml:space="preserve">3</w:instrText>
      </w:r>
      <w:r>
        <w:fldChar w:fldCharType="end"/>
      </w:r>
      <w:r>
        <w:instrText xml:space="preserve">-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41</w:instrText>
      </w:r>
      <w:r>
        <w:fldChar w:fldCharType="end"/>
      </w:r>
      <w:r>
        <w:instrText xml:space="preserve">)</w:instrText>
      </w:r>
      <w:r>
        <w:fldChar w:fldCharType="separate"/>
      </w:r>
      <w:r>
        <w:fldChar w:fldCharType="end"/>
      </w:r>
    </w:p>
    <w:p w14:paraId="56A3D101">
      <w:pPr>
        <w:ind w:firstLine="480"/>
        <w:rPr>
          <w:szCs w:val="28"/>
        </w:rPr>
      </w:pPr>
      <w:r>
        <w:rPr>
          <w:rFonts w:hint="eastAsia"/>
        </w:rPr>
        <w:t>式中，</w:t>
      </w:r>
      <w:r>
        <w:rPr>
          <w:rFonts w:hint="eastAsia"/>
          <w:b/>
          <w:bCs/>
          <w:i/>
          <w:iCs/>
        </w:rPr>
        <w:t>B</w:t>
      </w:r>
      <w:r>
        <w:rPr>
          <w:rFonts w:hint="eastAsia"/>
          <w:vertAlign w:val="subscript"/>
        </w:rPr>
        <w:t>ROM</w:t>
      </w:r>
      <w:r>
        <w:rPr>
          <w:rFonts w:hint="eastAsia"/>
        </w:rPr>
        <w:t>表示降阶计算结果，</w:t>
      </w:r>
      <w:r>
        <w:rPr>
          <w:rFonts w:hint="eastAsia"/>
          <w:b/>
          <w:bCs/>
          <w:i/>
          <w:iCs/>
        </w:rPr>
        <w:t>B</w:t>
      </w:r>
      <w:r>
        <w:rPr>
          <w:rFonts w:hint="eastAsia"/>
          <w:vertAlign w:val="subscript"/>
        </w:rPr>
        <w:t>FOM</w:t>
      </w:r>
      <w:r>
        <w:rPr>
          <w:rFonts w:hint="eastAsia"/>
        </w:rPr>
        <w:t>表示全阶计算结果，</w:t>
      </w:r>
      <w:r>
        <w:rPr>
          <w:rFonts w:hint="eastAsia"/>
          <w:i/>
          <w:iCs/>
        </w:rPr>
        <w:t>N</w:t>
      </w:r>
      <w:r>
        <w:rPr>
          <w:rFonts w:hint="eastAsia"/>
          <w:vertAlign w:val="subscript"/>
        </w:rPr>
        <w:t>node</w:t>
      </w:r>
      <w:r>
        <w:rPr>
          <w:rFonts w:hint="eastAsia"/>
        </w:rPr>
        <w:t>表示温度场节点总数。</w:t>
      </w:r>
    </w:p>
    <w:p w14:paraId="6595FAEA">
      <w:pPr>
        <w:ind w:firstLine="480"/>
        <w:jc w:val="center"/>
        <w:rPr>
          <w:rFonts w:ascii="方正仿宋_GB2312" w:hAnsi="方正仿宋_GB2312" w:eastAsia="方正仿宋_GB2312" w:cs="方正仿宋_GB2312"/>
          <w:color w:val="000000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Cs w:val="28"/>
        </w:rPr>
        <w:drawing>
          <wp:inline distT="0" distB="0" distL="114300" distR="114300">
            <wp:extent cx="3300730" cy="2363470"/>
            <wp:effectExtent l="0" t="0" r="0" b="0"/>
            <wp:docPr id="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7BDE5">
      <w:pPr>
        <w:pStyle w:val="37"/>
        <w:ind w:firstLine="420"/>
      </w:pPr>
      <w:r>
        <w:rPr>
          <w:rFonts w:hint="eastAsia"/>
        </w:rPr>
        <w:t>图3-56 测试点计算误差</w:t>
      </w:r>
    </w:p>
    <w:p w14:paraId="1ACCE0B2">
      <w:pPr>
        <w:ind w:firstLine="480"/>
      </w:pPr>
      <w:r>
        <w:rPr>
          <w:rFonts w:hint="eastAsia"/>
        </w:rPr>
        <w:t>由图3-56可以看到，在25个测试点中，降阶模型的最大绝对误差为6.7×10</w:t>
      </w:r>
      <w:r>
        <w:rPr>
          <w:rFonts w:hint="eastAsia" w:ascii="MS Gothic" w:hAnsi="MS Gothic" w:eastAsia="MS Gothic" w:cs="MS Gothic"/>
        </w:rPr>
        <w:t>⁻⁷</w:t>
      </w:r>
      <w:r>
        <w:rPr>
          <w:rFonts w:hint="eastAsia"/>
        </w:rPr>
        <w:t xml:space="preserve"> T，最大相对误差为0.00078%，出现在工况12（负载率72.46%，对应高压电流398.41A，中压电流796.80A）。其余工况的绝对误差均低于3.7×10</w:t>
      </w:r>
      <w:r>
        <w:rPr>
          <w:rFonts w:hint="eastAsia" w:ascii="MS Gothic" w:hAnsi="MS Gothic" w:eastAsia="MS Gothic" w:cs="MS Gothic"/>
        </w:rPr>
        <w:t>⁻⁷</w:t>
      </w:r>
      <w:r>
        <w:rPr>
          <w:rFonts w:hint="eastAsia"/>
        </w:rPr>
        <w:t>T，相对误差不超过0.00056%，充分证明了本项目提出的POD-RBFLP算法具有较高的计算精度。</w:t>
      </w:r>
    </w:p>
    <w:p w14:paraId="40D4D2B9">
      <w:pPr>
        <w:pStyle w:val="37"/>
        <w:ind w:firstLine="420"/>
      </w:pPr>
      <w:bookmarkStart w:id="1" w:name="OLE_LINK44"/>
      <w:r>
        <w:rPr>
          <w:rFonts w:hint="eastAsia"/>
        </w:rPr>
        <w:t>表3-15 磁场结果的仿真计算时间对比</w:t>
      </w:r>
    </w:p>
    <w:tbl>
      <w:tblPr>
        <w:tblStyle w:val="15"/>
        <w:tblW w:w="4071" w:type="pct"/>
        <w:jc w:val="center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8"/>
        <w:gridCol w:w="1788"/>
        <w:gridCol w:w="1514"/>
        <w:gridCol w:w="1923"/>
      </w:tblGrid>
      <w:tr w14:paraId="7EF5172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1137" w:type="pct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3FA4D6AD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</w:p>
        </w:tc>
        <w:tc>
          <w:tcPr>
            <w:tcW w:w="1322" w:type="pct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31CC9206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  <w:t>全阶模型</w:t>
            </w:r>
          </w:p>
        </w:tc>
        <w:tc>
          <w:tcPr>
            <w:tcW w:w="1119" w:type="pct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100ACE98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  <w:t>降阶模型</w:t>
            </w:r>
          </w:p>
        </w:tc>
        <w:tc>
          <w:tcPr>
            <w:tcW w:w="1422" w:type="pct"/>
            <w:tcBorders>
              <w:top w:val="single" w:color="auto" w:sz="12" w:space="0"/>
              <w:bottom w:val="single" w:color="auto" w:sz="6" w:space="0"/>
            </w:tcBorders>
          </w:tcPr>
          <w:p w14:paraId="09A44B9A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  <w:t>提高倍数</w:t>
            </w:r>
          </w:p>
        </w:tc>
      </w:tr>
      <w:tr w14:paraId="34B2CF67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1137" w:type="pct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1B853212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  <w:t>仿真时间</w:t>
            </w:r>
          </w:p>
        </w:tc>
        <w:tc>
          <w:tcPr>
            <w:tcW w:w="1322" w:type="pct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5FDE915D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  <w:t>323s</w:t>
            </w:r>
          </w:p>
        </w:tc>
        <w:tc>
          <w:tcPr>
            <w:tcW w:w="1119" w:type="pct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787B78CB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  <w:t>0.301s</w:t>
            </w:r>
          </w:p>
        </w:tc>
        <w:tc>
          <w:tcPr>
            <w:tcW w:w="1422" w:type="pct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33D6060C">
            <w:pPr>
              <w:spacing w:before="156"/>
              <w:ind w:firstLine="432"/>
              <w:jc w:val="center"/>
              <w:rPr>
                <w:rFonts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6"/>
                <w:kern w:val="20"/>
                <w:szCs w:val="21"/>
                <w14:ligatures w14:val="standardContextual"/>
              </w:rPr>
              <w:t>1073</w:t>
            </w:r>
          </w:p>
        </w:tc>
      </w:tr>
      <w:bookmarkEnd w:id="1"/>
    </w:tbl>
    <w:p w14:paraId="4ACB827A">
      <w:pPr>
        <w:ind w:firstLine="480"/>
      </w:pPr>
      <w:r>
        <w:rPr>
          <w:rFonts w:hint="eastAsia"/>
        </w:rPr>
        <w:t>此外，表3-17对比了全阶模型与降阶模型的仿真计算时间，进一步验证了降阶模型在计算效率上的显著优势。降阶模型将计算时间从323秒缩短至0.301秒，效率提升1073倍，满足了数字孪生场景下磁场实时仿真的需求。</w:t>
      </w:r>
    </w:p>
    <w:p w14:paraId="7C5956E9">
      <w:pPr>
        <w:pStyle w:val="5"/>
      </w:pPr>
      <w:bookmarkStart w:id="2" w:name="_Toc8103"/>
      <w:r>
        <w:rPr>
          <w:rFonts w:hint="eastAsia"/>
        </w:rPr>
        <w:t>3.2.2.2 温度场</w:t>
      </w:r>
      <w:bookmarkStart w:id="3" w:name="OLE_LINK7"/>
      <w:r>
        <w:rPr>
          <w:rFonts w:hint="eastAsia"/>
        </w:rPr>
        <w:t>降阶模型</w:t>
      </w:r>
      <w:bookmarkEnd w:id="2"/>
    </w:p>
    <w:bookmarkEnd w:id="3"/>
    <w:p w14:paraId="0A682B9F">
      <w:pPr>
        <w:ind w:firstLine="480"/>
      </w:pPr>
      <w:r>
        <w:rPr>
          <w:rFonts w:hint="eastAsia"/>
        </w:rPr>
        <w:t>基于上述代理模型原理和最佳模态，构建POD-RBFLP温度场降阶模型，本发明以拉丁超立方采样方法得到的25组工况作为测试集进行验证。采用POD-RBFLP降阶模型和Fluent全阶仿真对变压器绕组温度场进行求解，通过平均绝对误差和平均相对误差进行结果对比，同时将平均相对误差化为百分比形式以更直观地表现结果，见图3-57。</w:t>
      </w:r>
    </w:p>
    <w:p w14:paraId="595E39B8">
      <w:pPr>
        <w:ind w:firstLine="480"/>
        <w:jc w:val="center"/>
        <w:rPr>
          <w:rFonts w:ascii="方正仿宋_GB2312" w:hAnsi="方正仿宋_GB2312" w:eastAsia="方正仿宋_GB2312" w:cs="方正仿宋_GB2312"/>
          <w:color w:val="000000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Cs w:val="28"/>
        </w:rPr>
        <w:drawing>
          <wp:inline distT="0" distB="0" distL="114300" distR="114300">
            <wp:extent cx="4194175" cy="2999105"/>
            <wp:effectExtent l="0" t="0" r="0" b="0"/>
            <wp:docPr id="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2236">
      <w:pPr>
        <w:pStyle w:val="37"/>
        <w:ind w:firstLine="420"/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-57 测试点计算误差</w:t>
      </w:r>
    </w:p>
    <w:p w14:paraId="3B022757">
      <w:pPr>
        <w:ind w:firstLine="480"/>
      </w:pPr>
      <w:r>
        <w:rPr>
          <w:rFonts w:hint="eastAsia"/>
        </w:rPr>
        <w:t>由图</w:t>
      </w:r>
      <w:r>
        <w:rPr>
          <w:rFonts w:hint="eastAsia"/>
          <w:lang w:val="en-US" w:eastAsia="zh-CN"/>
        </w:rPr>
        <w:t>4</w:t>
      </w:r>
      <w:bookmarkStart w:id="7" w:name="_GoBack"/>
      <w:bookmarkEnd w:id="7"/>
      <w:r>
        <w:rPr>
          <w:rFonts w:hint="eastAsia"/>
        </w:rPr>
        <w:t>-57可以看到，在25个测试点中，降阶模型的最大绝对平均误差及最大相对平均误差出现在工况：</w:t>
      </w:r>
      <w:r>
        <w:rPr>
          <w:rFonts w:hint="eastAsia"/>
          <w:i/>
          <w:iCs/>
        </w:rPr>
        <w:t>T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=-8.85℃，</w:t>
      </w:r>
      <w:r>
        <w:rPr>
          <w:rFonts w:hint="eastAsia"/>
          <w:i/>
          <w:iCs/>
        </w:rPr>
        <w:t>P</w:t>
      </w:r>
      <w:r>
        <w:rPr>
          <w:rFonts w:hint="eastAsia"/>
          <w:i/>
          <w:iCs/>
          <w:vertAlign w:val="subscript"/>
        </w:rPr>
        <w:t>h</w:t>
      </w:r>
      <w:r>
        <w:rPr>
          <w:rFonts w:hint="eastAsia"/>
        </w:rPr>
        <w:t xml:space="preserve"> =29.98kW，</w:t>
      </w:r>
      <w:r>
        <w:rPr>
          <w:rFonts w:hint="eastAsia"/>
          <w:i/>
          <w:iCs/>
        </w:rPr>
        <w:t>P</w:t>
      </w:r>
      <w:r>
        <w:rPr>
          <w:rFonts w:hint="eastAsia"/>
          <w:i/>
          <w:iCs/>
          <w:vertAlign w:val="subscript"/>
        </w:rPr>
        <w:t>m</w:t>
      </w:r>
      <w:r>
        <w:rPr>
          <w:rFonts w:hint="eastAsia"/>
        </w:rPr>
        <w:t xml:space="preserve"> =20.12kW，误差分别为0.20℃和0.95%，其余各工况的降阶计算绝对误差均不超过0.15℃，且相对平均误差均不超过0.38%。由此，可说明本项目所提POD-RBFLP降阶算法具有较高的计算精度。</w:t>
      </w:r>
    </w:p>
    <w:p w14:paraId="5CAC1782">
      <w:pPr>
        <w:ind w:firstLine="480"/>
      </w:pPr>
      <w:r>
        <w:rPr>
          <w:rFonts w:hint="eastAsia"/>
        </w:rPr>
        <w:t>此外，仅考虑降阶模型建立之后的效率提升，POD-RBFLP算法计算25个测试工况仅需1.568s，且相较于Fluent单线程仿真计算时间9072.18s也有近万倍的效率提升，这充分说明了本项目所提算法的高效性，满足当下对于数字孪生模型快速计算的要求。</w:t>
      </w:r>
    </w:p>
    <w:p w14:paraId="510ECD70">
      <w:pPr>
        <w:pStyle w:val="5"/>
      </w:pPr>
      <w:bookmarkStart w:id="4" w:name="_Toc30514"/>
      <w:r>
        <w:rPr>
          <w:rFonts w:hint="eastAsia"/>
        </w:rPr>
        <w:t>3.2.2.3 结构力场降阶模型</w:t>
      </w:r>
      <w:bookmarkEnd w:id="4"/>
    </w:p>
    <w:p w14:paraId="3FEC1B27">
      <w:pPr>
        <w:ind w:firstLine="480"/>
      </w:pPr>
      <w:r>
        <w:rPr>
          <w:rFonts w:hint="eastAsia"/>
        </w:rPr>
        <w:t>基于上述EDMDC原理和最佳模态，构建EDMDC瞬态磁场和结构力场降阶计算模型。采用EDMDC降阶模型和COMSOL全阶仿真对变压器绕组短路电磁力进行求解，通过绝对平均误差和相对平均误差进行结果对比，磁场误差见图3-58，结构力场误差见图3-59。</w:t>
      </w:r>
    </w:p>
    <w:p w14:paraId="5FDA7C5C">
      <w:pPr>
        <w:ind w:firstLine="480"/>
        <w:jc w:val="center"/>
        <w:rPr>
          <w:rFonts w:ascii="方正仿宋_GB2312" w:hAnsi="方正仿宋_GB2312" w:eastAsia="方正仿宋_GB2312" w:cs="方正仿宋_GB2312"/>
          <w:color w:val="000000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Cs w:val="28"/>
        </w:rPr>
        <w:drawing>
          <wp:inline distT="0" distB="0" distL="0" distR="0">
            <wp:extent cx="3714750" cy="2329180"/>
            <wp:effectExtent l="0" t="0" r="0" b="13970"/>
            <wp:docPr id="27340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96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437" cy="233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C36A">
      <w:pPr>
        <w:pStyle w:val="37"/>
        <w:ind w:firstLine="420"/>
      </w:pPr>
      <w:r>
        <w:rPr>
          <w:rFonts w:hint="eastAsia"/>
        </w:rPr>
        <w:t>图3-58 瞬态磁场绝对误差与相对误差</w:t>
      </w:r>
    </w:p>
    <w:p w14:paraId="7F12AC38">
      <w:pPr>
        <w:ind w:firstLine="480"/>
      </w:pPr>
      <w:bookmarkStart w:id="5" w:name="OLE_LINK41"/>
      <w:r>
        <w:rPr>
          <w:rFonts w:hint="eastAsia"/>
        </w:rPr>
        <w:t>由图可知，瞬态磁场的绝对平均误差和相对平均误差随着时间的增长而增加，前40个时步瞬态磁场最大绝对误差为0.0535T,最大相对误差为7.53%，</w:t>
      </w:r>
      <w:bookmarkStart w:id="6" w:name="OLE_LINK43"/>
      <w:r>
        <w:rPr>
          <w:rFonts w:hint="eastAsia"/>
        </w:rPr>
        <w:t>属于工程实践可接受的范围</w:t>
      </w:r>
      <w:bookmarkEnd w:id="6"/>
      <w:r>
        <w:rPr>
          <w:rFonts w:hint="eastAsia"/>
        </w:rPr>
        <w:t>，故EDMDC模型对于磁场具有较高的预测精度。</w:t>
      </w:r>
    </w:p>
    <w:bookmarkEnd w:id="5"/>
    <w:p w14:paraId="0A65E412">
      <w:pPr>
        <w:ind w:firstLine="480"/>
        <w:jc w:val="center"/>
        <w:rPr>
          <w:rFonts w:ascii="方正仿宋_GB2312" w:hAnsi="方正仿宋_GB2312" w:eastAsia="方正仿宋_GB2312" w:cs="方正仿宋_GB2312"/>
          <w:color w:val="000000"/>
          <w:szCs w:val="28"/>
        </w:rPr>
      </w:pPr>
      <w:r>
        <w:rPr>
          <w:rFonts w:hint="eastAsia" w:ascii="方正仿宋_GB2312" w:hAnsi="方正仿宋_GB2312" w:eastAsia="方正仿宋_GB2312" w:cs="方正仿宋_GB2312"/>
          <w:color w:val="000000"/>
          <w:szCs w:val="28"/>
        </w:rPr>
        <w:drawing>
          <wp:inline distT="0" distB="0" distL="0" distR="0">
            <wp:extent cx="3565525" cy="2329180"/>
            <wp:effectExtent l="0" t="0" r="15875" b="13970"/>
            <wp:docPr id="410632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3217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44" cy="23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69B">
      <w:pPr>
        <w:pStyle w:val="37"/>
        <w:ind w:firstLine="420"/>
      </w:pPr>
      <w:r>
        <w:rPr>
          <w:rFonts w:hint="eastAsia"/>
        </w:rPr>
        <w:t>图3-59 结构力场绝对误差与相对误差</w:t>
      </w:r>
    </w:p>
    <w:p w14:paraId="3A006766">
      <w:pPr>
        <w:ind w:firstLine="480"/>
      </w:pPr>
      <w:r>
        <w:rPr>
          <w:rFonts w:hint="eastAsia"/>
        </w:rPr>
        <w:t>由图可知，结构力场计算误差的变化趋势与瞬态磁场相同，前40个时步结构力场最大绝对平均误差为2.144×</w:t>
      </w:r>
      <m:oMath>
        <m:r>
          <m:rPr/>
          <w:rPr>
            <w:rFonts w:ascii="Cambria Math" w:hAnsi="Cambria Math"/>
          </w:rPr>
          <m:t>{10}^6</m:t>
        </m:r>
        <m:r>
          <m:rPr>
            <m:sty m:val="p"/>
          </m:rPr>
          <w:rPr>
            <w:rFonts w:ascii="Cambria Math" w:hAnsi="Cambria Math"/>
          </w:rPr>
          <m:t>N/</m:t>
        </m:r>
        <m:r>
          <m:rPr/>
          <w:rPr>
            <w:rFonts w:ascii="Cambria Math" w:hAnsi="Cambria Math"/>
          </w:rPr>
          <m:t>m^2</m:t>
        </m:r>
      </m:oMath>
      <w:r>
        <w:rPr>
          <w:rFonts w:hint="eastAsia"/>
        </w:rPr>
        <w:t>,最大相对平均误差为7.52%，属于工程实践可接受的范围，因此EDMDC模型对于结构力场的预测也具有较高精度。</w:t>
      </w:r>
    </w:p>
    <w:p w14:paraId="3C8B8BA6">
      <w:pPr>
        <w:ind w:firstLine="480"/>
      </w:pPr>
      <w:r>
        <w:rPr>
          <w:rFonts w:hint="eastAsia"/>
        </w:rPr>
        <w:t>在计算效率上，使用全阶模型计算40个时步耗时约480s，而EDMDC降阶模型仅1.32s，计算效率提高约363.63倍，充分说明了模型计算的快速性，为设备运行时的实时电磁力动态监测提供了高效支撑，大幅提升了绕组电磁力相关工程分析与设计的时效性和实用性。</w:t>
      </w:r>
    </w:p>
    <w:p w14:paraId="3FA759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417DEFCF-8118-4328-97B9-7DA0352B1512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503FD3B3-74A8-4B95-8B1D-C3DC600D6138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  <w:embedRegular r:id="rId3" w:fontKey="{983E39CE-9488-45AA-883E-B7E82C6EA233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4" w:fontKey="{BD32A92E-FE6F-4554-BF81-3435A356A7D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E54"/>
    <w:rsid w:val="001A6F80"/>
    <w:rsid w:val="002F3E54"/>
    <w:rsid w:val="004039CF"/>
    <w:rsid w:val="00541BF0"/>
    <w:rsid w:val="00991020"/>
    <w:rsid w:val="00B50EFC"/>
    <w:rsid w:val="4A5C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qFormat/>
    <w:uiPriority w:val="0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paragraph" w:customStyle="1" w:styleId="37">
    <w:name w:val="图表标题"/>
    <w:basedOn w:val="1"/>
    <w:next w:val="1"/>
    <w:qFormat/>
    <w:uiPriority w:val="0"/>
    <w:pPr>
      <w:spacing w:line="360" w:lineRule="auto"/>
      <w:ind w:firstLine="482" w:firstLineChars="200"/>
      <w:jc w:val="center"/>
    </w:pPr>
    <w:rPr>
      <w:rFonts w:ascii="宋体" w:hAnsi="宋体" w:eastAsia="宋体" w:cs="Times New Roman"/>
      <w:kern w:val="0"/>
      <w:szCs w:val="21"/>
    </w:rPr>
  </w:style>
  <w:style w:type="paragraph" w:customStyle="1" w:styleId="38">
    <w:name w:val="MTDisplayEquation"/>
    <w:basedOn w:val="1"/>
    <w:next w:val="1"/>
    <w:link w:val="39"/>
    <w:qFormat/>
    <w:uiPriority w:val="0"/>
    <w:pPr>
      <w:tabs>
        <w:tab w:val="center" w:pos="4540"/>
        <w:tab w:val="right" w:pos="9080"/>
      </w:tabs>
      <w:adjustRightInd w:val="0"/>
      <w:spacing w:before="156" w:line="312" w:lineRule="atLeast"/>
      <w:ind w:firstLine="480" w:firstLineChars="200"/>
      <w:textAlignment w:val="baseline"/>
    </w:pPr>
    <w:rPr>
      <w:rFonts w:ascii="宋体" w:hAnsi="宋体" w:eastAsia="宋体" w:cs="Times New Roman"/>
      <w:color w:val="000000"/>
      <w:kern w:val="0"/>
      <w:position w:val="-6"/>
      <w:sz w:val="24"/>
      <w:szCs w:val="28"/>
    </w:rPr>
  </w:style>
  <w:style w:type="character" w:customStyle="1" w:styleId="39">
    <w:name w:val="MTDisplayEquation 字符"/>
    <w:basedOn w:val="16"/>
    <w:link w:val="38"/>
    <w:qFormat/>
    <w:uiPriority w:val="0"/>
    <w:rPr>
      <w:rFonts w:ascii="宋体" w:hAnsi="宋体" w:eastAsia="宋体" w:cs="Times New Roman"/>
      <w:color w:val="000000"/>
      <w:kern w:val="0"/>
      <w:position w:val="-6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1301</Words>
  <Characters>1653</Characters>
  <Lines>16</Lines>
  <Paragraphs>4</Paragraphs>
  <TotalTime>17</TotalTime>
  <ScaleCrop>false</ScaleCrop>
  <LinksUpToDate>false</LinksUpToDate>
  <CharactersWithSpaces>1668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2026-04-02T08:37:00Z</dcterms:created>
  <dc:creator>力玮 姜</dc:creator>
  <cp:lastModifiedBy>杨瑞</cp:lastModifiedBy>
  <dcterms:modified xsi:type="dcterms:W3CDTF">2026-04-02T09:08:50Z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eyJoZGlkIjoiODg5MTM4MGI2ODc1ZDYwZTdhMWEwZjQ2M2QyMGU5YzciLCJ1c2VySWQiOiIzNDE1NjUxNzMifQ==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97155A4CEA9C4F96A2AA5FE49320D9B5_12</vt:lpwstr>
  </property>
</Properties>
</file>