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FB76" w14:textId="77777777" w:rsidR="00C80649" w:rsidRPr="00C80649" w:rsidRDefault="00C80649" w:rsidP="00C80649">
      <w:r w:rsidRPr="00C80649">
        <w:t>La metodología del modelo garantiza el supuesto de "historia común" (o tendencias paralelas) mediante un diseño experimental estricto. El código fuerza matemáticamente a que ambos grupos tengan una trayectoria pre-tratamiento idéntica. A continuación, se detalla paso a paso cómo se construye el grupo de control para asegurar la comparabilidad absoluta:</w:t>
      </w:r>
    </w:p>
    <w:p w14:paraId="6A34B322" w14:textId="77777777" w:rsidR="00C80649" w:rsidRPr="00C80649" w:rsidRDefault="00C80649" w:rsidP="00C80649">
      <w:r w:rsidRPr="00C80649">
        <w:rPr>
          <w:b/>
          <w:bCs/>
        </w:rPr>
        <w:t>Paso 1: La "Historia Común" obligatoria (El filtro de los 12 meses)</w:t>
      </w:r>
    </w:p>
    <w:p w14:paraId="02C91452" w14:textId="77777777" w:rsidR="00C80649" w:rsidRPr="00C80649" w:rsidRDefault="00C80649" w:rsidP="00C80649">
      <w:r w:rsidRPr="00C80649">
        <w:t>El modelo no selecciona a mujeres del grupo de control en cualquier momento aleatorio de su vida laboral, ya que eso mezclaría trayectorias inestables con trayectorias consolidadas. Para que una mujer ingrese al grupo de Tratamiento (las madres), el código observa su $t=0$ (el mes en que inicia su licencia de 3 meses) y verifica que durante los 12 meses anteriores exactos haya estado trabajando ininterrumpidamente.</w:t>
      </w:r>
    </w:p>
    <w:p w14:paraId="771D2FA7" w14:textId="77777777" w:rsidR="00C80649" w:rsidRPr="00C80649" w:rsidRDefault="00C80649" w:rsidP="00C80649">
      <w:r w:rsidRPr="00C80649">
        <w:t xml:space="preserve">Al grupo de Control se le exige </w:t>
      </w:r>
      <w:r w:rsidRPr="00C80649">
        <w:rPr>
          <w:b/>
          <w:bCs/>
        </w:rPr>
        <w:t>exactamente la misma condición</w:t>
      </w:r>
      <w:r w:rsidRPr="00C80649">
        <w:t>. La historia común de ambos grupos radica en que, al llegar al momento $t=0$, todas las mujeres de la muestra vienen de trabajar un año entero de corrido. Esto anula el sesgo de la rotación basal o los empleos inestables.</w:t>
      </w:r>
    </w:p>
    <w:p w14:paraId="35BA1DC5" w14:textId="77777777" w:rsidR="00C80649" w:rsidRPr="00C80649" w:rsidRDefault="00C80649" w:rsidP="00C80649">
      <w:r w:rsidRPr="00C80649">
        <w:rPr>
          <w:b/>
          <w:bCs/>
        </w:rPr>
        <w:t>Paso 2: La asignación del $t=0$ Placebo (El momento de corte)</w:t>
      </w:r>
    </w:p>
    <w:p w14:paraId="4014E1F6" w14:textId="77777777" w:rsidR="00C80649" w:rsidRPr="00C80649" w:rsidRDefault="00C80649" w:rsidP="00C80649">
      <w:r w:rsidRPr="00C80649">
        <w:t>El grupo de Tratamiento tiene su $t=0$ fijado por el inicio biológico de la licencia. Para el grupo de Control (compuesto por mujeres que nunca tuvieron una licencia mayor a 3 meses en todo el panel), el algoritmo elige un mes de su vida laboral activa de forma completamente aleatoria.</w:t>
      </w:r>
    </w:p>
    <w:p w14:paraId="7C2D7A92" w14:textId="77777777" w:rsidR="00C80649" w:rsidRPr="00C80649" w:rsidRDefault="00C80649" w:rsidP="00C80649">
      <w:r w:rsidRPr="00C80649">
        <w:t xml:space="preserve">El punto crítico metodológico es el siguiente: ese mes aleatorio </w:t>
      </w:r>
      <w:r w:rsidRPr="00C80649">
        <w:rPr>
          <w:b/>
          <w:bCs/>
        </w:rPr>
        <w:t>solo se aprueba</w:t>
      </w:r>
      <w:r w:rsidRPr="00C80649">
        <w:t xml:space="preserve"> si cumple la regla del Paso 1 (venir de 12 meses continuos en estado "Activo"). Si no los cumple, se descarta. Así se logra que el $t=0$ placebo no sea un momento cualquiera, sino un punto de estabilidad comprobada, estadísticamente equivalente al momento previo a una licencia por maternidad.</w:t>
      </w:r>
    </w:p>
    <w:p w14:paraId="77C43BEE" w14:textId="77777777" w:rsidR="00C80649" w:rsidRPr="00C80649" w:rsidRDefault="00C80649" w:rsidP="00C80649">
      <w:r w:rsidRPr="00C80649">
        <w:rPr>
          <w:b/>
          <w:bCs/>
        </w:rPr>
        <w:t>Paso 3: El Matching 1 a 1 (Simetría Sectorial)</w:t>
      </w:r>
    </w:p>
    <w:p w14:paraId="3E3C1445" w14:textId="77777777" w:rsidR="00C80649" w:rsidRPr="00C80649" w:rsidRDefault="00C80649" w:rsidP="00C80649">
      <w:r w:rsidRPr="00C80649">
        <w:t>Tener una historia común en términos de tiempo de estabilidad no es suficiente si los sectores de origen son distintos (la fricción laboral a los 12 meses no es igual en el Comercio que en las Finanzas). Para solucionar esto, el código toma la composición exacta del grupo de Tratamiento (por ejemplo: 30% en Comercio, 10% en Salud, etc.) y extrae del grupo de Control exactamente la misma cantidad de mujeres por cada rubro. El resultado final son dos grupos del mismo tamaño ($N$) y con la misma distribución sectorial.</w:t>
      </w:r>
    </w:p>
    <w:p w14:paraId="21E269D1" w14:textId="77777777" w:rsidR="00C80649" w:rsidRPr="00C80649" w:rsidRDefault="00C80649" w:rsidP="00C80649">
      <w:r w:rsidRPr="00C80649">
        <w:rPr>
          <w:b/>
          <w:bCs/>
        </w:rPr>
        <w:t>Conclusión metodológica:</w:t>
      </w:r>
    </w:p>
    <w:p w14:paraId="06024D19" w14:textId="77777777" w:rsidR="00C80649" w:rsidRPr="00C80649" w:rsidRDefault="00C80649" w:rsidP="00C80649">
      <w:r w:rsidRPr="00C80649">
        <w:lastRenderedPageBreak/>
        <w:t xml:space="preserve">La "historia común" está garantizada porque, en el mes $t=0$, tanto la mujer de Tratamiento como la de Control tienen la misma edad (20 a 34 años), trabajan en el mismo sector y provienen de una trayectoria reciente idéntica: 12 meses de trabajo formal ininterrumpido. La única diferencia estructural en sus vidas a partir de ese mes es el evento de la maternidad. Por lo tanto, cualquier diferencial de expulsión hacia la inactividad observado a los 36 meses puede atribuirse puramente al </w:t>
      </w:r>
      <w:r w:rsidRPr="00C80649">
        <w:rPr>
          <w:i/>
          <w:iCs/>
        </w:rPr>
        <w:t>Child Penalty</w:t>
      </w:r>
      <w:r w:rsidRPr="00C80649">
        <w:t>.</w:t>
      </w:r>
    </w:p>
    <w:p w14:paraId="1B4F24DB" w14:textId="77777777" w:rsidR="009B0AB6" w:rsidRDefault="009B0AB6"/>
    <w:sectPr w:rsidR="009B0A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8F"/>
    <w:rsid w:val="00046A3E"/>
    <w:rsid w:val="002D289A"/>
    <w:rsid w:val="0045798F"/>
    <w:rsid w:val="009B0AB6"/>
    <w:rsid w:val="00C8064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5481E9-E5DE-4665-9D5D-6DC70426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98F"/>
    <w:rPr>
      <w:rFonts w:eastAsiaTheme="majorEastAsia" w:cstheme="majorBidi"/>
      <w:color w:val="272727" w:themeColor="text1" w:themeTint="D8"/>
    </w:rPr>
  </w:style>
  <w:style w:type="paragraph" w:styleId="Title">
    <w:name w:val="Title"/>
    <w:basedOn w:val="Normal"/>
    <w:next w:val="Normal"/>
    <w:link w:val="TitleChar"/>
    <w:uiPriority w:val="10"/>
    <w:qFormat/>
    <w:rsid w:val="00457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98F"/>
    <w:pPr>
      <w:spacing w:before="160"/>
      <w:jc w:val="center"/>
    </w:pPr>
    <w:rPr>
      <w:i/>
      <w:iCs/>
      <w:color w:val="404040" w:themeColor="text1" w:themeTint="BF"/>
    </w:rPr>
  </w:style>
  <w:style w:type="character" w:customStyle="1" w:styleId="QuoteChar">
    <w:name w:val="Quote Char"/>
    <w:basedOn w:val="DefaultParagraphFont"/>
    <w:link w:val="Quote"/>
    <w:uiPriority w:val="29"/>
    <w:rsid w:val="0045798F"/>
    <w:rPr>
      <w:i/>
      <w:iCs/>
      <w:color w:val="404040" w:themeColor="text1" w:themeTint="BF"/>
    </w:rPr>
  </w:style>
  <w:style w:type="paragraph" w:styleId="ListParagraph">
    <w:name w:val="List Paragraph"/>
    <w:basedOn w:val="Normal"/>
    <w:uiPriority w:val="34"/>
    <w:qFormat/>
    <w:rsid w:val="0045798F"/>
    <w:pPr>
      <w:ind w:left="720"/>
      <w:contextualSpacing/>
    </w:pPr>
  </w:style>
  <w:style w:type="character" w:styleId="IntenseEmphasis">
    <w:name w:val="Intense Emphasis"/>
    <w:basedOn w:val="DefaultParagraphFont"/>
    <w:uiPriority w:val="21"/>
    <w:qFormat/>
    <w:rsid w:val="0045798F"/>
    <w:rPr>
      <w:i/>
      <w:iCs/>
      <w:color w:val="0F4761" w:themeColor="accent1" w:themeShade="BF"/>
    </w:rPr>
  </w:style>
  <w:style w:type="paragraph" w:styleId="IntenseQuote">
    <w:name w:val="Intense Quote"/>
    <w:basedOn w:val="Normal"/>
    <w:next w:val="Normal"/>
    <w:link w:val="IntenseQuoteChar"/>
    <w:uiPriority w:val="30"/>
    <w:qFormat/>
    <w:rsid w:val="00457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98F"/>
    <w:rPr>
      <w:i/>
      <w:iCs/>
      <w:color w:val="0F4761" w:themeColor="accent1" w:themeShade="BF"/>
    </w:rPr>
  </w:style>
  <w:style w:type="character" w:styleId="IntenseReference">
    <w:name w:val="Intense Reference"/>
    <w:basedOn w:val="DefaultParagraphFont"/>
    <w:uiPriority w:val="32"/>
    <w:qFormat/>
    <w:rsid w:val="00457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2497</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José Astigueta</dc:creator>
  <cp:keywords/>
  <dc:description/>
  <cp:lastModifiedBy>Santiago José Astigueta</cp:lastModifiedBy>
  <cp:revision>2</cp:revision>
  <dcterms:created xsi:type="dcterms:W3CDTF">2026-06-25T15:23:00Z</dcterms:created>
  <dcterms:modified xsi:type="dcterms:W3CDTF">2026-06-25T15:23:00Z</dcterms:modified>
</cp:coreProperties>
</file>