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510799"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64E3E7B8" w14:textId="46BBE2AE" w:rsidR="00471D5B"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529529" w:history="1">
            <w:r w:rsidR="00471D5B" w:rsidRPr="004F1558">
              <w:rPr>
                <w:rStyle w:val="Hyperlink"/>
                <w:noProof/>
              </w:rPr>
              <w:t>Abkürzungsverzeichnis</w:t>
            </w:r>
            <w:r w:rsidR="00471D5B">
              <w:rPr>
                <w:noProof/>
                <w:webHidden/>
              </w:rPr>
              <w:tab/>
            </w:r>
            <w:r w:rsidR="00471D5B">
              <w:rPr>
                <w:noProof/>
                <w:webHidden/>
              </w:rPr>
              <w:fldChar w:fldCharType="begin"/>
            </w:r>
            <w:r w:rsidR="00471D5B">
              <w:rPr>
                <w:noProof/>
                <w:webHidden/>
              </w:rPr>
              <w:instrText xml:space="preserve"> PAGEREF _Toc155529529 \h </w:instrText>
            </w:r>
            <w:r w:rsidR="00471D5B">
              <w:rPr>
                <w:noProof/>
                <w:webHidden/>
              </w:rPr>
            </w:r>
            <w:r w:rsidR="00471D5B">
              <w:rPr>
                <w:noProof/>
                <w:webHidden/>
              </w:rPr>
              <w:fldChar w:fldCharType="separate"/>
            </w:r>
            <w:r w:rsidR="00471D5B">
              <w:rPr>
                <w:noProof/>
                <w:webHidden/>
              </w:rPr>
              <w:t>III</w:t>
            </w:r>
            <w:r w:rsidR="00471D5B">
              <w:rPr>
                <w:noProof/>
                <w:webHidden/>
              </w:rPr>
              <w:fldChar w:fldCharType="end"/>
            </w:r>
          </w:hyperlink>
        </w:p>
        <w:p w14:paraId="163D57B0" w14:textId="780A5B45" w:rsidR="00471D5B" w:rsidRDefault="00000000">
          <w:pPr>
            <w:pStyle w:val="Verzeichnis1"/>
            <w:tabs>
              <w:tab w:val="right" w:leader="dot" w:pos="9062"/>
            </w:tabs>
            <w:rPr>
              <w:noProof/>
              <w:kern w:val="2"/>
              <w:lang w:eastAsia="ja-JP"/>
              <w14:ligatures w14:val="standardContextual"/>
            </w:rPr>
          </w:pPr>
          <w:hyperlink w:anchor="_Toc155529530" w:history="1">
            <w:r w:rsidR="00471D5B" w:rsidRPr="004F1558">
              <w:rPr>
                <w:rStyle w:val="Hyperlink"/>
                <w:noProof/>
              </w:rPr>
              <w:t>Abbildungsverzeichnis</w:t>
            </w:r>
            <w:r w:rsidR="00471D5B">
              <w:rPr>
                <w:noProof/>
                <w:webHidden/>
              </w:rPr>
              <w:tab/>
            </w:r>
            <w:r w:rsidR="00471D5B">
              <w:rPr>
                <w:noProof/>
                <w:webHidden/>
              </w:rPr>
              <w:fldChar w:fldCharType="begin"/>
            </w:r>
            <w:r w:rsidR="00471D5B">
              <w:rPr>
                <w:noProof/>
                <w:webHidden/>
              </w:rPr>
              <w:instrText xml:space="preserve"> PAGEREF _Toc155529530 \h </w:instrText>
            </w:r>
            <w:r w:rsidR="00471D5B">
              <w:rPr>
                <w:noProof/>
                <w:webHidden/>
              </w:rPr>
            </w:r>
            <w:r w:rsidR="00471D5B">
              <w:rPr>
                <w:noProof/>
                <w:webHidden/>
              </w:rPr>
              <w:fldChar w:fldCharType="separate"/>
            </w:r>
            <w:r w:rsidR="00471D5B">
              <w:rPr>
                <w:noProof/>
                <w:webHidden/>
              </w:rPr>
              <w:t>IV</w:t>
            </w:r>
            <w:r w:rsidR="00471D5B">
              <w:rPr>
                <w:noProof/>
                <w:webHidden/>
              </w:rPr>
              <w:fldChar w:fldCharType="end"/>
            </w:r>
          </w:hyperlink>
        </w:p>
        <w:p w14:paraId="4A59A63F" w14:textId="076E41F0" w:rsidR="00471D5B" w:rsidRDefault="00000000">
          <w:pPr>
            <w:pStyle w:val="Verzeichnis1"/>
            <w:tabs>
              <w:tab w:val="right" w:leader="dot" w:pos="9062"/>
            </w:tabs>
            <w:rPr>
              <w:noProof/>
              <w:kern w:val="2"/>
              <w:lang w:eastAsia="ja-JP"/>
              <w14:ligatures w14:val="standardContextual"/>
            </w:rPr>
          </w:pPr>
          <w:hyperlink w:anchor="_Toc155529531" w:history="1">
            <w:r w:rsidR="00471D5B" w:rsidRPr="004F1558">
              <w:rPr>
                <w:rStyle w:val="Hyperlink"/>
                <w:noProof/>
              </w:rPr>
              <w:t>Tabellenverzeichnis</w:t>
            </w:r>
            <w:r w:rsidR="00471D5B">
              <w:rPr>
                <w:noProof/>
                <w:webHidden/>
              </w:rPr>
              <w:tab/>
            </w:r>
            <w:r w:rsidR="00471D5B">
              <w:rPr>
                <w:noProof/>
                <w:webHidden/>
              </w:rPr>
              <w:fldChar w:fldCharType="begin"/>
            </w:r>
            <w:r w:rsidR="00471D5B">
              <w:rPr>
                <w:noProof/>
                <w:webHidden/>
              </w:rPr>
              <w:instrText xml:space="preserve"> PAGEREF _Toc155529531 \h </w:instrText>
            </w:r>
            <w:r w:rsidR="00471D5B">
              <w:rPr>
                <w:noProof/>
                <w:webHidden/>
              </w:rPr>
            </w:r>
            <w:r w:rsidR="00471D5B">
              <w:rPr>
                <w:noProof/>
                <w:webHidden/>
              </w:rPr>
              <w:fldChar w:fldCharType="separate"/>
            </w:r>
            <w:r w:rsidR="00471D5B">
              <w:rPr>
                <w:noProof/>
                <w:webHidden/>
              </w:rPr>
              <w:t>V</w:t>
            </w:r>
            <w:r w:rsidR="00471D5B">
              <w:rPr>
                <w:noProof/>
                <w:webHidden/>
              </w:rPr>
              <w:fldChar w:fldCharType="end"/>
            </w:r>
          </w:hyperlink>
        </w:p>
        <w:p w14:paraId="6C4B9846" w14:textId="6B2C1DC3" w:rsidR="00471D5B" w:rsidRDefault="00000000">
          <w:pPr>
            <w:pStyle w:val="Verzeichnis1"/>
            <w:tabs>
              <w:tab w:val="left" w:pos="440"/>
              <w:tab w:val="right" w:leader="dot" w:pos="9062"/>
            </w:tabs>
            <w:rPr>
              <w:noProof/>
              <w:kern w:val="2"/>
              <w:lang w:eastAsia="ja-JP"/>
              <w14:ligatures w14:val="standardContextual"/>
            </w:rPr>
          </w:pPr>
          <w:hyperlink w:anchor="_Toc155529532" w:history="1">
            <w:r w:rsidR="00471D5B" w:rsidRPr="004F1558">
              <w:rPr>
                <w:rStyle w:val="Hyperlink"/>
                <w:noProof/>
              </w:rPr>
              <w:t>1</w:t>
            </w:r>
            <w:r w:rsidR="00471D5B">
              <w:rPr>
                <w:noProof/>
                <w:kern w:val="2"/>
                <w:lang w:eastAsia="ja-JP"/>
                <w14:ligatures w14:val="standardContextual"/>
              </w:rPr>
              <w:tab/>
            </w:r>
            <w:r w:rsidR="00471D5B" w:rsidRPr="004F1558">
              <w:rPr>
                <w:rStyle w:val="Hyperlink"/>
                <w:noProof/>
              </w:rPr>
              <w:t>Einleitung</w:t>
            </w:r>
            <w:r w:rsidR="00471D5B">
              <w:rPr>
                <w:noProof/>
                <w:webHidden/>
              </w:rPr>
              <w:tab/>
            </w:r>
            <w:r w:rsidR="00471D5B">
              <w:rPr>
                <w:noProof/>
                <w:webHidden/>
              </w:rPr>
              <w:fldChar w:fldCharType="begin"/>
            </w:r>
            <w:r w:rsidR="00471D5B">
              <w:rPr>
                <w:noProof/>
                <w:webHidden/>
              </w:rPr>
              <w:instrText xml:space="preserve"> PAGEREF _Toc155529532 \h </w:instrText>
            </w:r>
            <w:r w:rsidR="00471D5B">
              <w:rPr>
                <w:noProof/>
                <w:webHidden/>
              </w:rPr>
            </w:r>
            <w:r w:rsidR="00471D5B">
              <w:rPr>
                <w:noProof/>
                <w:webHidden/>
              </w:rPr>
              <w:fldChar w:fldCharType="separate"/>
            </w:r>
            <w:r w:rsidR="00471D5B">
              <w:rPr>
                <w:noProof/>
                <w:webHidden/>
              </w:rPr>
              <w:t>1</w:t>
            </w:r>
            <w:r w:rsidR="00471D5B">
              <w:rPr>
                <w:noProof/>
                <w:webHidden/>
              </w:rPr>
              <w:fldChar w:fldCharType="end"/>
            </w:r>
          </w:hyperlink>
        </w:p>
        <w:p w14:paraId="2B1DAA05" w14:textId="1FA19742" w:rsidR="00471D5B" w:rsidRDefault="00000000">
          <w:pPr>
            <w:pStyle w:val="Verzeichnis2"/>
            <w:tabs>
              <w:tab w:val="left" w:pos="880"/>
              <w:tab w:val="right" w:leader="dot" w:pos="9062"/>
            </w:tabs>
            <w:rPr>
              <w:noProof/>
              <w:kern w:val="2"/>
              <w:lang w:eastAsia="ja-JP"/>
              <w14:ligatures w14:val="standardContextual"/>
            </w:rPr>
          </w:pPr>
          <w:hyperlink w:anchor="_Toc155529533" w:history="1">
            <w:r w:rsidR="00471D5B" w:rsidRPr="004F1558">
              <w:rPr>
                <w:rStyle w:val="Hyperlink"/>
                <w:noProof/>
              </w:rPr>
              <w:t>1.1</w:t>
            </w:r>
            <w:r w:rsidR="00471D5B">
              <w:rPr>
                <w:noProof/>
                <w:kern w:val="2"/>
                <w:lang w:eastAsia="ja-JP"/>
                <w14:ligatures w14:val="standardContextual"/>
              </w:rPr>
              <w:tab/>
            </w:r>
            <w:r w:rsidR="00471D5B" w:rsidRPr="004F1558">
              <w:rPr>
                <w:rStyle w:val="Hyperlink"/>
                <w:noProof/>
              </w:rPr>
              <w:t>Relevanz des Themas</w:t>
            </w:r>
            <w:r w:rsidR="00471D5B">
              <w:rPr>
                <w:noProof/>
                <w:webHidden/>
              </w:rPr>
              <w:tab/>
            </w:r>
            <w:r w:rsidR="00471D5B">
              <w:rPr>
                <w:noProof/>
                <w:webHidden/>
              </w:rPr>
              <w:fldChar w:fldCharType="begin"/>
            </w:r>
            <w:r w:rsidR="00471D5B">
              <w:rPr>
                <w:noProof/>
                <w:webHidden/>
              </w:rPr>
              <w:instrText xml:space="preserve"> PAGEREF _Toc155529533 \h </w:instrText>
            </w:r>
            <w:r w:rsidR="00471D5B">
              <w:rPr>
                <w:noProof/>
                <w:webHidden/>
              </w:rPr>
            </w:r>
            <w:r w:rsidR="00471D5B">
              <w:rPr>
                <w:noProof/>
                <w:webHidden/>
              </w:rPr>
              <w:fldChar w:fldCharType="separate"/>
            </w:r>
            <w:r w:rsidR="00471D5B">
              <w:rPr>
                <w:noProof/>
                <w:webHidden/>
              </w:rPr>
              <w:t>1</w:t>
            </w:r>
            <w:r w:rsidR="00471D5B">
              <w:rPr>
                <w:noProof/>
                <w:webHidden/>
              </w:rPr>
              <w:fldChar w:fldCharType="end"/>
            </w:r>
          </w:hyperlink>
        </w:p>
        <w:p w14:paraId="2C104D92" w14:textId="391E6D4E" w:rsidR="00471D5B" w:rsidRDefault="00000000">
          <w:pPr>
            <w:pStyle w:val="Verzeichnis2"/>
            <w:tabs>
              <w:tab w:val="left" w:pos="880"/>
              <w:tab w:val="right" w:leader="dot" w:pos="9062"/>
            </w:tabs>
            <w:rPr>
              <w:noProof/>
              <w:kern w:val="2"/>
              <w:lang w:eastAsia="ja-JP"/>
              <w14:ligatures w14:val="standardContextual"/>
            </w:rPr>
          </w:pPr>
          <w:hyperlink w:anchor="_Toc155529534" w:history="1">
            <w:r w:rsidR="00471D5B" w:rsidRPr="004F1558">
              <w:rPr>
                <w:rStyle w:val="Hyperlink"/>
                <w:noProof/>
              </w:rPr>
              <w:t>1.2</w:t>
            </w:r>
            <w:r w:rsidR="00471D5B">
              <w:rPr>
                <w:noProof/>
                <w:kern w:val="2"/>
                <w:lang w:eastAsia="ja-JP"/>
                <w14:ligatures w14:val="standardContextual"/>
              </w:rPr>
              <w:tab/>
            </w:r>
            <w:r w:rsidR="00471D5B" w:rsidRPr="004F1558">
              <w:rPr>
                <w:rStyle w:val="Hyperlink"/>
                <w:noProof/>
              </w:rPr>
              <w:t>Zielsetzung und Abgrenzung</w:t>
            </w:r>
            <w:r w:rsidR="00471D5B">
              <w:rPr>
                <w:noProof/>
                <w:webHidden/>
              </w:rPr>
              <w:tab/>
            </w:r>
            <w:r w:rsidR="00471D5B">
              <w:rPr>
                <w:noProof/>
                <w:webHidden/>
              </w:rPr>
              <w:fldChar w:fldCharType="begin"/>
            </w:r>
            <w:r w:rsidR="00471D5B">
              <w:rPr>
                <w:noProof/>
                <w:webHidden/>
              </w:rPr>
              <w:instrText xml:space="preserve"> PAGEREF _Toc155529534 \h </w:instrText>
            </w:r>
            <w:r w:rsidR="00471D5B">
              <w:rPr>
                <w:noProof/>
                <w:webHidden/>
              </w:rPr>
            </w:r>
            <w:r w:rsidR="00471D5B">
              <w:rPr>
                <w:noProof/>
                <w:webHidden/>
              </w:rPr>
              <w:fldChar w:fldCharType="separate"/>
            </w:r>
            <w:r w:rsidR="00471D5B">
              <w:rPr>
                <w:noProof/>
                <w:webHidden/>
              </w:rPr>
              <w:t>2</w:t>
            </w:r>
            <w:r w:rsidR="00471D5B">
              <w:rPr>
                <w:noProof/>
                <w:webHidden/>
              </w:rPr>
              <w:fldChar w:fldCharType="end"/>
            </w:r>
          </w:hyperlink>
        </w:p>
        <w:p w14:paraId="087CA605" w14:textId="5A7793E2" w:rsidR="00471D5B" w:rsidRDefault="00000000">
          <w:pPr>
            <w:pStyle w:val="Verzeichnis2"/>
            <w:tabs>
              <w:tab w:val="left" w:pos="880"/>
              <w:tab w:val="right" w:leader="dot" w:pos="9062"/>
            </w:tabs>
            <w:rPr>
              <w:noProof/>
              <w:kern w:val="2"/>
              <w:lang w:eastAsia="ja-JP"/>
              <w14:ligatures w14:val="standardContextual"/>
            </w:rPr>
          </w:pPr>
          <w:hyperlink w:anchor="_Toc155529535" w:history="1">
            <w:r w:rsidR="00471D5B" w:rsidRPr="004F1558">
              <w:rPr>
                <w:rStyle w:val="Hyperlink"/>
                <w:noProof/>
              </w:rPr>
              <w:t>1.3</w:t>
            </w:r>
            <w:r w:rsidR="00471D5B">
              <w:rPr>
                <w:noProof/>
                <w:kern w:val="2"/>
                <w:lang w:eastAsia="ja-JP"/>
                <w14:ligatures w14:val="standardContextual"/>
              </w:rPr>
              <w:tab/>
            </w:r>
            <w:r w:rsidR="00471D5B" w:rsidRPr="004F1558">
              <w:rPr>
                <w:rStyle w:val="Hyperlink"/>
                <w:noProof/>
              </w:rPr>
              <w:t>Aufbau der Arbeit</w:t>
            </w:r>
            <w:r w:rsidR="00471D5B">
              <w:rPr>
                <w:noProof/>
                <w:webHidden/>
              </w:rPr>
              <w:tab/>
            </w:r>
            <w:r w:rsidR="00471D5B">
              <w:rPr>
                <w:noProof/>
                <w:webHidden/>
              </w:rPr>
              <w:fldChar w:fldCharType="begin"/>
            </w:r>
            <w:r w:rsidR="00471D5B">
              <w:rPr>
                <w:noProof/>
                <w:webHidden/>
              </w:rPr>
              <w:instrText xml:space="preserve"> PAGEREF _Toc155529535 \h </w:instrText>
            </w:r>
            <w:r w:rsidR="00471D5B">
              <w:rPr>
                <w:noProof/>
                <w:webHidden/>
              </w:rPr>
            </w:r>
            <w:r w:rsidR="00471D5B">
              <w:rPr>
                <w:noProof/>
                <w:webHidden/>
              </w:rPr>
              <w:fldChar w:fldCharType="separate"/>
            </w:r>
            <w:r w:rsidR="00471D5B">
              <w:rPr>
                <w:noProof/>
                <w:webHidden/>
              </w:rPr>
              <w:t>3</w:t>
            </w:r>
            <w:r w:rsidR="00471D5B">
              <w:rPr>
                <w:noProof/>
                <w:webHidden/>
              </w:rPr>
              <w:fldChar w:fldCharType="end"/>
            </w:r>
          </w:hyperlink>
        </w:p>
        <w:p w14:paraId="30F9C856" w14:textId="49FFCE69" w:rsidR="00471D5B" w:rsidRDefault="00000000">
          <w:pPr>
            <w:pStyle w:val="Verzeichnis2"/>
            <w:tabs>
              <w:tab w:val="left" w:pos="880"/>
              <w:tab w:val="right" w:leader="dot" w:pos="9062"/>
            </w:tabs>
            <w:rPr>
              <w:noProof/>
              <w:kern w:val="2"/>
              <w:lang w:eastAsia="ja-JP"/>
              <w14:ligatures w14:val="standardContextual"/>
            </w:rPr>
          </w:pPr>
          <w:hyperlink w:anchor="_Toc155529536" w:history="1">
            <w:r w:rsidR="00471D5B" w:rsidRPr="004F1558">
              <w:rPr>
                <w:rStyle w:val="Hyperlink"/>
                <w:noProof/>
              </w:rPr>
              <w:t>1.4</w:t>
            </w:r>
            <w:r w:rsidR="00471D5B">
              <w:rPr>
                <w:noProof/>
                <w:kern w:val="2"/>
                <w:lang w:eastAsia="ja-JP"/>
                <w14:ligatures w14:val="standardContextual"/>
              </w:rPr>
              <w:tab/>
            </w:r>
            <w:r w:rsidR="00471D5B" w:rsidRPr="004F1558">
              <w:rPr>
                <w:rStyle w:val="Hyperlink"/>
                <w:noProof/>
              </w:rPr>
              <w:t>gendergerechte Sprache</w:t>
            </w:r>
            <w:r w:rsidR="00471D5B">
              <w:rPr>
                <w:noProof/>
                <w:webHidden/>
              </w:rPr>
              <w:tab/>
            </w:r>
            <w:r w:rsidR="00471D5B">
              <w:rPr>
                <w:noProof/>
                <w:webHidden/>
              </w:rPr>
              <w:fldChar w:fldCharType="begin"/>
            </w:r>
            <w:r w:rsidR="00471D5B">
              <w:rPr>
                <w:noProof/>
                <w:webHidden/>
              </w:rPr>
              <w:instrText xml:space="preserve"> PAGEREF _Toc155529536 \h </w:instrText>
            </w:r>
            <w:r w:rsidR="00471D5B">
              <w:rPr>
                <w:noProof/>
                <w:webHidden/>
              </w:rPr>
            </w:r>
            <w:r w:rsidR="00471D5B">
              <w:rPr>
                <w:noProof/>
                <w:webHidden/>
              </w:rPr>
              <w:fldChar w:fldCharType="separate"/>
            </w:r>
            <w:r w:rsidR="00471D5B">
              <w:rPr>
                <w:noProof/>
                <w:webHidden/>
              </w:rPr>
              <w:t>3</w:t>
            </w:r>
            <w:r w:rsidR="00471D5B">
              <w:rPr>
                <w:noProof/>
                <w:webHidden/>
              </w:rPr>
              <w:fldChar w:fldCharType="end"/>
            </w:r>
          </w:hyperlink>
        </w:p>
        <w:p w14:paraId="79875FC2" w14:textId="04D17352" w:rsidR="00471D5B" w:rsidRDefault="00000000">
          <w:pPr>
            <w:pStyle w:val="Verzeichnis1"/>
            <w:tabs>
              <w:tab w:val="left" w:pos="440"/>
              <w:tab w:val="right" w:leader="dot" w:pos="9062"/>
            </w:tabs>
            <w:rPr>
              <w:noProof/>
              <w:kern w:val="2"/>
              <w:lang w:eastAsia="ja-JP"/>
              <w14:ligatures w14:val="standardContextual"/>
            </w:rPr>
          </w:pPr>
          <w:hyperlink w:anchor="_Toc155529537" w:history="1">
            <w:r w:rsidR="00471D5B" w:rsidRPr="004F1558">
              <w:rPr>
                <w:rStyle w:val="Hyperlink"/>
                <w:noProof/>
              </w:rPr>
              <w:t>2</w:t>
            </w:r>
            <w:r w:rsidR="00471D5B">
              <w:rPr>
                <w:noProof/>
                <w:kern w:val="2"/>
                <w:lang w:eastAsia="ja-JP"/>
                <w14:ligatures w14:val="standardContextual"/>
              </w:rPr>
              <w:tab/>
            </w:r>
            <w:r w:rsidR="00471D5B" w:rsidRPr="004F1558">
              <w:rPr>
                <w:rStyle w:val="Hyperlink"/>
                <w:noProof/>
              </w:rPr>
              <w:t>Theoretische Grundlagen</w:t>
            </w:r>
            <w:r w:rsidR="00471D5B">
              <w:rPr>
                <w:noProof/>
                <w:webHidden/>
              </w:rPr>
              <w:tab/>
            </w:r>
            <w:r w:rsidR="00471D5B">
              <w:rPr>
                <w:noProof/>
                <w:webHidden/>
              </w:rPr>
              <w:fldChar w:fldCharType="begin"/>
            </w:r>
            <w:r w:rsidR="00471D5B">
              <w:rPr>
                <w:noProof/>
                <w:webHidden/>
              </w:rPr>
              <w:instrText xml:space="preserve"> PAGEREF _Toc155529537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5971917B" w14:textId="2F051CB2" w:rsidR="00471D5B" w:rsidRDefault="00000000">
          <w:pPr>
            <w:pStyle w:val="Verzeichnis2"/>
            <w:tabs>
              <w:tab w:val="left" w:pos="880"/>
              <w:tab w:val="right" w:leader="dot" w:pos="9062"/>
            </w:tabs>
            <w:rPr>
              <w:noProof/>
              <w:kern w:val="2"/>
              <w:lang w:eastAsia="ja-JP"/>
              <w14:ligatures w14:val="standardContextual"/>
            </w:rPr>
          </w:pPr>
          <w:hyperlink w:anchor="_Toc155529538" w:history="1">
            <w:r w:rsidR="00471D5B" w:rsidRPr="004F1558">
              <w:rPr>
                <w:rStyle w:val="Hyperlink"/>
                <w:noProof/>
              </w:rPr>
              <w:t>2.1</w:t>
            </w:r>
            <w:r w:rsidR="00471D5B">
              <w:rPr>
                <w:noProof/>
                <w:kern w:val="2"/>
                <w:lang w:eastAsia="ja-JP"/>
                <w14:ligatures w14:val="standardContextual"/>
              </w:rPr>
              <w:tab/>
            </w:r>
            <w:r w:rsidR="00471D5B" w:rsidRPr="004F1558">
              <w:rPr>
                <w:rStyle w:val="Hyperlink"/>
                <w:noProof/>
              </w:rPr>
              <w:t>Sozialversicherungen</w:t>
            </w:r>
            <w:r w:rsidR="00471D5B">
              <w:rPr>
                <w:noProof/>
                <w:webHidden/>
              </w:rPr>
              <w:tab/>
            </w:r>
            <w:r w:rsidR="00471D5B">
              <w:rPr>
                <w:noProof/>
                <w:webHidden/>
              </w:rPr>
              <w:fldChar w:fldCharType="begin"/>
            </w:r>
            <w:r w:rsidR="00471D5B">
              <w:rPr>
                <w:noProof/>
                <w:webHidden/>
              </w:rPr>
              <w:instrText xml:space="preserve"> PAGEREF _Toc155529538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74E70D32" w14:textId="28C15FCF" w:rsidR="00471D5B" w:rsidRDefault="00000000">
          <w:pPr>
            <w:pStyle w:val="Verzeichnis3"/>
            <w:tabs>
              <w:tab w:val="left" w:pos="1320"/>
              <w:tab w:val="right" w:leader="dot" w:pos="9062"/>
            </w:tabs>
            <w:rPr>
              <w:noProof/>
              <w:kern w:val="2"/>
              <w:lang w:eastAsia="ja-JP"/>
              <w14:ligatures w14:val="standardContextual"/>
            </w:rPr>
          </w:pPr>
          <w:hyperlink w:anchor="_Toc155529539" w:history="1">
            <w:r w:rsidR="00471D5B" w:rsidRPr="004F1558">
              <w:rPr>
                <w:rStyle w:val="Hyperlink"/>
                <w:noProof/>
              </w:rPr>
              <w:t>2.1.1</w:t>
            </w:r>
            <w:r w:rsidR="00471D5B">
              <w:rPr>
                <w:noProof/>
                <w:kern w:val="2"/>
                <w:lang w:eastAsia="ja-JP"/>
                <w14:ligatures w14:val="standardContextual"/>
              </w:rPr>
              <w:tab/>
            </w:r>
            <w:r w:rsidR="00471D5B" w:rsidRPr="004F1558">
              <w:rPr>
                <w:rStyle w:val="Hyperlink"/>
                <w:noProof/>
              </w:rPr>
              <w:t>Kranken- und Pflegeversicherung</w:t>
            </w:r>
            <w:r w:rsidR="00471D5B">
              <w:rPr>
                <w:noProof/>
                <w:webHidden/>
              </w:rPr>
              <w:tab/>
            </w:r>
            <w:r w:rsidR="00471D5B">
              <w:rPr>
                <w:noProof/>
                <w:webHidden/>
              </w:rPr>
              <w:fldChar w:fldCharType="begin"/>
            </w:r>
            <w:r w:rsidR="00471D5B">
              <w:rPr>
                <w:noProof/>
                <w:webHidden/>
              </w:rPr>
              <w:instrText xml:space="preserve"> PAGEREF _Toc155529539 \h </w:instrText>
            </w:r>
            <w:r w:rsidR="00471D5B">
              <w:rPr>
                <w:noProof/>
                <w:webHidden/>
              </w:rPr>
            </w:r>
            <w:r w:rsidR="00471D5B">
              <w:rPr>
                <w:noProof/>
                <w:webHidden/>
              </w:rPr>
              <w:fldChar w:fldCharType="separate"/>
            </w:r>
            <w:r w:rsidR="00471D5B">
              <w:rPr>
                <w:noProof/>
                <w:webHidden/>
              </w:rPr>
              <w:t>4</w:t>
            </w:r>
            <w:r w:rsidR="00471D5B">
              <w:rPr>
                <w:noProof/>
                <w:webHidden/>
              </w:rPr>
              <w:fldChar w:fldCharType="end"/>
            </w:r>
          </w:hyperlink>
        </w:p>
        <w:p w14:paraId="5EF23E7C" w14:textId="7C043464" w:rsidR="00471D5B" w:rsidRDefault="00000000">
          <w:pPr>
            <w:pStyle w:val="Verzeichnis3"/>
            <w:tabs>
              <w:tab w:val="left" w:pos="1320"/>
              <w:tab w:val="right" w:leader="dot" w:pos="9062"/>
            </w:tabs>
            <w:rPr>
              <w:noProof/>
              <w:kern w:val="2"/>
              <w:lang w:eastAsia="ja-JP"/>
              <w14:ligatures w14:val="standardContextual"/>
            </w:rPr>
          </w:pPr>
          <w:hyperlink w:anchor="_Toc155529540" w:history="1">
            <w:r w:rsidR="00471D5B" w:rsidRPr="004F1558">
              <w:rPr>
                <w:rStyle w:val="Hyperlink"/>
                <w:noProof/>
              </w:rPr>
              <w:t>2.1.2</w:t>
            </w:r>
            <w:r w:rsidR="00471D5B">
              <w:rPr>
                <w:noProof/>
                <w:kern w:val="2"/>
                <w:lang w:eastAsia="ja-JP"/>
                <w14:ligatures w14:val="standardContextual"/>
              </w:rPr>
              <w:tab/>
            </w:r>
            <w:r w:rsidR="00471D5B" w:rsidRPr="004F1558">
              <w:rPr>
                <w:rStyle w:val="Hyperlink"/>
                <w:noProof/>
              </w:rPr>
              <w:t>Pflegeversicherung</w:t>
            </w:r>
            <w:r w:rsidR="00471D5B">
              <w:rPr>
                <w:noProof/>
                <w:webHidden/>
              </w:rPr>
              <w:tab/>
            </w:r>
            <w:r w:rsidR="00471D5B">
              <w:rPr>
                <w:noProof/>
                <w:webHidden/>
              </w:rPr>
              <w:fldChar w:fldCharType="begin"/>
            </w:r>
            <w:r w:rsidR="00471D5B">
              <w:rPr>
                <w:noProof/>
                <w:webHidden/>
              </w:rPr>
              <w:instrText xml:space="preserve"> PAGEREF _Toc155529540 \h </w:instrText>
            </w:r>
            <w:r w:rsidR="00471D5B">
              <w:rPr>
                <w:noProof/>
                <w:webHidden/>
              </w:rPr>
            </w:r>
            <w:r w:rsidR="00471D5B">
              <w:rPr>
                <w:noProof/>
                <w:webHidden/>
              </w:rPr>
              <w:fldChar w:fldCharType="separate"/>
            </w:r>
            <w:r w:rsidR="00471D5B">
              <w:rPr>
                <w:noProof/>
                <w:webHidden/>
              </w:rPr>
              <w:t>5</w:t>
            </w:r>
            <w:r w:rsidR="00471D5B">
              <w:rPr>
                <w:noProof/>
                <w:webHidden/>
              </w:rPr>
              <w:fldChar w:fldCharType="end"/>
            </w:r>
          </w:hyperlink>
        </w:p>
        <w:p w14:paraId="0E53F6B0" w14:textId="78B744D3" w:rsidR="00471D5B" w:rsidRDefault="00000000">
          <w:pPr>
            <w:pStyle w:val="Verzeichnis3"/>
            <w:tabs>
              <w:tab w:val="left" w:pos="1320"/>
              <w:tab w:val="right" w:leader="dot" w:pos="9062"/>
            </w:tabs>
            <w:rPr>
              <w:noProof/>
              <w:kern w:val="2"/>
              <w:lang w:eastAsia="ja-JP"/>
              <w14:ligatures w14:val="standardContextual"/>
            </w:rPr>
          </w:pPr>
          <w:hyperlink w:anchor="_Toc155529541" w:history="1">
            <w:r w:rsidR="00471D5B" w:rsidRPr="004F1558">
              <w:rPr>
                <w:rStyle w:val="Hyperlink"/>
                <w:noProof/>
              </w:rPr>
              <w:t>2.1.3</w:t>
            </w:r>
            <w:r w:rsidR="00471D5B">
              <w:rPr>
                <w:noProof/>
                <w:kern w:val="2"/>
                <w:lang w:eastAsia="ja-JP"/>
                <w14:ligatures w14:val="standardContextual"/>
              </w:rPr>
              <w:tab/>
            </w:r>
            <w:r w:rsidR="00471D5B" w:rsidRPr="004F1558">
              <w:rPr>
                <w:rStyle w:val="Hyperlink"/>
                <w:noProof/>
              </w:rPr>
              <w:t>Arbeitslosenversicherung</w:t>
            </w:r>
            <w:r w:rsidR="00471D5B">
              <w:rPr>
                <w:noProof/>
                <w:webHidden/>
              </w:rPr>
              <w:tab/>
            </w:r>
            <w:r w:rsidR="00471D5B">
              <w:rPr>
                <w:noProof/>
                <w:webHidden/>
              </w:rPr>
              <w:fldChar w:fldCharType="begin"/>
            </w:r>
            <w:r w:rsidR="00471D5B">
              <w:rPr>
                <w:noProof/>
                <w:webHidden/>
              </w:rPr>
              <w:instrText xml:space="preserve"> PAGEREF _Toc155529541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462B7708" w14:textId="76675F39" w:rsidR="00471D5B" w:rsidRDefault="00000000">
          <w:pPr>
            <w:pStyle w:val="Verzeichnis3"/>
            <w:tabs>
              <w:tab w:val="left" w:pos="1320"/>
              <w:tab w:val="right" w:leader="dot" w:pos="9062"/>
            </w:tabs>
            <w:rPr>
              <w:noProof/>
              <w:kern w:val="2"/>
              <w:lang w:eastAsia="ja-JP"/>
              <w14:ligatures w14:val="standardContextual"/>
            </w:rPr>
          </w:pPr>
          <w:hyperlink w:anchor="_Toc155529542" w:history="1">
            <w:r w:rsidR="00471D5B" w:rsidRPr="004F1558">
              <w:rPr>
                <w:rStyle w:val="Hyperlink"/>
                <w:noProof/>
              </w:rPr>
              <w:t>2.1.4</w:t>
            </w:r>
            <w:r w:rsidR="00471D5B">
              <w:rPr>
                <w:noProof/>
                <w:kern w:val="2"/>
                <w:lang w:eastAsia="ja-JP"/>
                <w14:ligatures w14:val="standardContextual"/>
              </w:rPr>
              <w:tab/>
            </w:r>
            <w:r w:rsidR="00471D5B" w:rsidRPr="004F1558">
              <w:rPr>
                <w:rStyle w:val="Hyperlink"/>
                <w:noProof/>
              </w:rPr>
              <w:t>Rentenversicherung</w:t>
            </w:r>
            <w:r w:rsidR="00471D5B">
              <w:rPr>
                <w:noProof/>
                <w:webHidden/>
              </w:rPr>
              <w:tab/>
            </w:r>
            <w:r w:rsidR="00471D5B">
              <w:rPr>
                <w:noProof/>
                <w:webHidden/>
              </w:rPr>
              <w:fldChar w:fldCharType="begin"/>
            </w:r>
            <w:r w:rsidR="00471D5B">
              <w:rPr>
                <w:noProof/>
                <w:webHidden/>
              </w:rPr>
              <w:instrText xml:space="preserve"> PAGEREF _Toc155529542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0C82577C" w14:textId="745F8C5F" w:rsidR="00471D5B" w:rsidRDefault="00000000">
          <w:pPr>
            <w:pStyle w:val="Verzeichnis3"/>
            <w:tabs>
              <w:tab w:val="left" w:pos="1320"/>
              <w:tab w:val="right" w:leader="dot" w:pos="9062"/>
            </w:tabs>
            <w:rPr>
              <w:noProof/>
              <w:kern w:val="2"/>
              <w:lang w:eastAsia="ja-JP"/>
              <w14:ligatures w14:val="standardContextual"/>
            </w:rPr>
          </w:pPr>
          <w:hyperlink w:anchor="_Toc155529543" w:history="1">
            <w:r w:rsidR="00471D5B" w:rsidRPr="004F1558">
              <w:rPr>
                <w:rStyle w:val="Hyperlink"/>
                <w:noProof/>
              </w:rPr>
              <w:t>2.1.5</w:t>
            </w:r>
            <w:r w:rsidR="00471D5B">
              <w:rPr>
                <w:noProof/>
                <w:kern w:val="2"/>
                <w:lang w:eastAsia="ja-JP"/>
                <w14:ligatures w14:val="standardContextual"/>
              </w:rPr>
              <w:tab/>
            </w:r>
            <w:r w:rsidR="00471D5B" w:rsidRPr="004F1558">
              <w:rPr>
                <w:rStyle w:val="Hyperlink"/>
                <w:noProof/>
              </w:rPr>
              <w:t>Unfallversicherung</w:t>
            </w:r>
            <w:r w:rsidR="00471D5B">
              <w:rPr>
                <w:noProof/>
                <w:webHidden/>
              </w:rPr>
              <w:tab/>
            </w:r>
            <w:r w:rsidR="00471D5B">
              <w:rPr>
                <w:noProof/>
                <w:webHidden/>
              </w:rPr>
              <w:fldChar w:fldCharType="begin"/>
            </w:r>
            <w:r w:rsidR="00471D5B">
              <w:rPr>
                <w:noProof/>
                <w:webHidden/>
              </w:rPr>
              <w:instrText xml:space="preserve"> PAGEREF _Toc155529543 \h </w:instrText>
            </w:r>
            <w:r w:rsidR="00471D5B">
              <w:rPr>
                <w:noProof/>
                <w:webHidden/>
              </w:rPr>
            </w:r>
            <w:r w:rsidR="00471D5B">
              <w:rPr>
                <w:noProof/>
                <w:webHidden/>
              </w:rPr>
              <w:fldChar w:fldCharType="separate"/>
            </w:r>
            <w:r w:rsidR="00471D5B">
              <w:rPr>
                <w:noProof/>
                <w:webHidden/>
              </w:rPr>
              <w:t>6</w:t>
            </w:r>
            <w:r w:rsidR="00471D5B">
              <w:rPr>
                <w:noProof/>
                <w:webHidden/>
              </w:rPr>
              <w:fldChar w:fldCharType="end"/>
            </w:r>
          </w:hyperlink>
        </w:p>
        <w:p w14:paraId="7F62E0E6" w14:textId="1810AB39" w:rsidR="00471D5B" w:rsidRDefault="00000000">
          <w:pPr>
            <w:pStyle w:val="Verzeichnis3"/>
            <w:tabs>
              <w:tab w:val="left" w:pos="1320"/>
              <w:tab w:val="right" w:leader="dot" w:pos="9062"/>
            </w:tabs>
            <w:rPr>
              <w:noProof/>
              <w:kern w:val="2"/>
              <w:lang w:eastAsia="ja-JP"/>
              <w14:ligatures w14:val="standardContextual"/>
            </w:rPr>
          </w:pPr>
          <w:hyperlink w:anchor="_Toc155529544" w:history="1">
            <w:r w:rsidR="00471D5B" w:rsidRPr="004F1558">
              <w:rPr>
                <w:rStyle w:val="Hyperlink"/>
                <w:noProof/>
              </w:rPr>
              <w:t>2.1.6</w:t>
            </w:r>
            <w:r w:rsidR="00471D5B">
              <w:rPr>
                <w:noProof/>
                <w:kern w:val="2"/>
                <w:lang w:eastAsia="ja-JP"/>
                <w14:ligatures w14:val="standardContextual"/>
              </w:rPr>
              <w:tab/>
            </w:r>
            <w:r w:rsidR="00471D5B" w:rsidRPr="004F1558">
              <w:rPr>
                <w:rStyle w:val="Hyperlink"/>
                <w:noProof/>
              </w:rPr>
              <w:t>Gesetzliche Umlagen</w:t>
            </w:r>
            <w:r w:rsidR="00471D5B">
              <w:rPr>
                <w:noProof/>
                <w:webHidden/>
              </w:rPr>
              <w:tab/>
            </w:r>
            <w:r w:rsidR="00471D5B">
              <w:rPr>
                <w:noProof/>
                <w:webHidden/>
              </w:rPr>
              <w:fldChar w:fldCharType="begin"/>
            </w:r>
            <w:r w:rsidR="00471D5B">
              <w:rPr>
                <w:noProof/>
                <w:webHidden/>
              </w:rPr>
              <w:instrText xml:space="preserve"> PAGEREF _Toc155529544 \h </w:instrText>
            </w:r>
            <w:r w:rsidR="00471D5B">
              <w:rPr>
                <w:noProof/>
                <w:webHidden/>
              </w:rPr>
            </w:r>
            <w:r w:rsidR="00471D5B">
              <w:rPr>
                <w:noProof/>
                <w:webHidden/>
              </w:rPr>
              <w:fldChar w:fldCharType="separate"/>
            </w:r>
            <w:r w:rsidR="00471D5B">
              <w:rPr>
                <w:noProof/>
                <w:webHidden/>
              </w:rPr>
              <w:t>7</w:t>
            </w:r>
            <w:r w:rsidR="00471D5B">
              <w:rPr>
                <w:noProof/>
                <w:webHidden/>
              </w:rPr>
              <w:fldChar w:fldCharType="end"/>
            </w:r>
          </w:hyperlink>
        </w:p>
        <w:p w14:paraId="0F5AC1E2" w14:textId="5978E062" w:rsidR="00471D5B" w:rsidRDefault="00000000">
          <w:pPr>
            <w:pStyle w:val="Verzeichnis3"/>
            <w:tabs>
              <w:tab w:val="left" w:pos="1320"/>
              <w:tab w:val="right" w:leader="dot" w:pos="9062"/>
            </w:tabs>
            <w:rPr>
              <w:noProof/>
              <w:kern w:val="2"/>
              <w:lang w:eastAsia="ja-JP"/>
              <w14:ligatures w14:val="standardContextual"/>
            </w:rPr>
          </w:pPr>
          <w:hyperlink w:anchor="_Toc155529545" w:history="1">
            <w:r w:rsidR="00471D5B" w:rsidRPr="004F1558">
              <w:rPr>
                <w:rStyle w:val="Hyperlink"/>
                <w:noProof/>
              </w:rPr>
              <w:t>2.1.7</w:t>
            </w:r>
            <w:r w:rsidR="00471D5B">
              <w:rPr>
                <w:noProof/>
                <w:kern w:val="2"/>
                <w:lang w:eastAsia="ja-JP"/>
                <w14:ligatures w14:val="standardContextual"/>
              </w:rPr>
              <w:tab/>
            </w:r>
            <w:r w:rsidR="00471D5B" w:rsidRPr="004F1558">
              <w:rPr>
                <w:rStyle w:val="Hyperlink"/>
                <w:noProof/>
              </w:rPr>
              <w:t>Versicherungspflichten nach Beschäftigungsformen</w:t>
            </w:r>
            <w:r w:rsidR="00471D5B">
              <w:rPr>
                <w:noProof/>
                <w:webHidden/>
              </w:rPr>
              <w:tab/>
            </w:r>
            <w:r w:rsidR="00471D5B">
              <w:rPr>
                <w:noProof/>
                <w:webHidden/>
              </w:rPr>
              <w:fldChar w:fldCharType="begin"/>
            </w:r>
            <w:r w:rsidR="00471D5B">
              <w:rPr>
                <w:noProof/>
                <w:webHidden/>
              </w:rPr>
              <w:instrText xml:space="preserve"> PAGEREF _Toc155529545 \h </w:instrText>
            </w:r>
            <w:r w:rsidR="00471D5B">
              <w:rPr>
                <w:noProof/>
                <w:webHidden/>
              </w:rPr>
            </w:r>
            <w:r w:rsidR="00471D5B">
              <w:rPr>
                <w:noProof/>
                <w:webHidden/>
              </w:rPr>
              <w:fldChar w:fldCharType="separate"/>
            </w:r>
            <w:r w:rsidR="00471D5B">
              <w:rPr>
                <w:noProof/>
                <w:webHidden/>
              </w:rPr>
              <w:t>8</w:t>
            </w:r>
            <w:r w:rsidR="00471D5B">
              <w:rPr>
                <w:noProof/>
                <w:webHidden/>
              </w:rPr>
              <w:fldChar w:fldCharType="end"/>
            </w:r>
          </w:hyperlink>
        </w:p>
        <w:p w14:paraId="27CCA4FD" w14:textId="30D11F85" w:rsidR="00471D5B" w:rsidRDefault="00000000">
          <w:pPr>
            <w:pStyle w:val="Verzeichnis2"/>
            <w:tabs>
              <w:tab w:val="left" w:pos="880"/>
              <w:tab w:val="right" w:leader="dot" w:pos="9062"/>
            </w:tabs>
            <w:rPr>
              <w:noProof/>
              <w:kern w:val="2"/>
              <w:lang w:eastAsia="ja-JP"/>
              <w14:ligatures w14:val="standardContextual"/>
            </w:rPr>
          </w:pPr>
          <w:hyperlink w:anchor="_Toc155529546" w:history="1">
            <w:r w:rsidR="00471D5B" w:rsidRPr="004F1558">
              <w:rPr>
                <w:rStyle w:val="Hyperlink"/>
                <w:noProof/>
              </w:rPr>
              <w:t>2.2</w:t>
            </w:r>
            <w:r w:rsidR="00471D5B">
              <w:rPr>
                <w:noProof/>
                <w:kern w:val="2"/>
                <w:lang w:eastAsia="ja-JP"/>
                <w14:ligatures w14:val="standardContextual"/>
              </w:rPr>
              <w:tab/>
            </w:r>
            <w:r w:rsidR="00471D5B" w:rsidRPr="004F1558">
              <w:rPr>
                <w:rStyle w:val="Hyperlink"/>
                <w:noProof/>
              </w:rPr>
              <w:t>Entgelt und Tarifbindung</w:t>
            </w:r>
            <w:r w:rsidR="00471D5B">
              <w:rPr>
                <w:noProof/>
                <w:webHidden/>
              </w:rPr>
              <w:tab/>
            </w:r>
            <w:r w:rsidR="00471D5B">
              <w:rPr>
                <w:noProof/>
                <w:webHidden/>
              </w:rPr>
              <w:fldChar w:fldCharType="begin"/>
            </w:r>
            <w:r w:rsidR="00471D5B">
              <w:rPr>
                <w:noProof/>
                <w:webHidden/>
              </w:rPr>
              <w:instrText xml:space="preserve"> PAGEREF _Toc155529546 \h </w:instrText>
            </w:r>
            <w:r w:rsidR="00471D5B">
              <w:rPr>
                <w:noProof/>
                <w:webHidden/>
              </w:rPr>
            </w:r>
            <w:r w:rsidR="00471D5B">
              <w:rPr>
                <w:noProof/>
                <w:webHidden/>
              </w:rPr>
              <w:fldChar w:fldCharType="separate"/>
            </w:r>
            <w:r w:rsidR="00471D5B">
              <w:rPr>
                <w:noProof/>
                <w:webHidden/>
              </w:rPr>
              <w:t>9</w:t>
            </w:r>
            <w:r w:rsidR="00471D5B">
              <w:rPr>
                <w:noProof/>
                <w:webHidden/>
              </w:rPr>
              <w:fldChar w:fldCharType="end"/>
            </w:r>
          </w:hyperlink>
        </w:p>
        <w:p w14:paraId="70E245FD" w14:textId="7CFC05D6" w:rsidR="00471D5B" w:rsidRDefault="00000000">
          <w:pPr>
            <w:pStyle w:val="Verzeichnis2"/>
            <w:tabs>
              <w:tab w:val="left" w:pos="880"/>
              <w:tab w:val="right" w:leader="dot" w:pos="9062"/>
            </w:tabs>
            <w:rPr>
              <w:noProof/>
              <w:kern w:val="2"/>
              <w:lang w:eastAsia="ja-JP"/>
              <w14:ligatures w14:val="standardContextual"/>
            </w:rPr>
          </w:pPr>
          <w:hyperlink w:anchor="_Toc155529547" w:history="1">
            <w:r w:rsidR="00471D5B" w:rsidRPr="004F1558">
              <w:rPr>
                <w:rStyle w:val="Hyperlink"/>
                <w:noProof/>
              </w:rPr>
              <w:t>2.3</w:t>
            </w:r>
            <w:r w:rsidR="00471D5B">
              <w:rPr>
                <w:noProof/>
                <w:kern w:val="2"/>
                <w:lang w:eastAsia="ja-JP"/>
                <w14:ligatures w14:val="standardContextual"/>
              </w:rPr>
              <w:tab/>
            </w:r>
            <w:r w:rsidR="00471D5B" w:rsidRPr="004F1558">
              <w:rPr>
                <w:rStyle w:val="Hyperlink"/>
                <w:noProof/>
              </w:rPr>
              <w:t>Personalstammdaten</w:t>
            </w:r>
            <w:r w:rsidR="00471D5B">
              <w:rPr>
                <w:noProof/>
                <w:webHidden/>
              </w:rPr>
              <w:tab/>
            </w:r>
            <w:r w:rsidR="00471D5B">
              <w:rPr>
                <w:noProof/>
                <w:webHidden/>
              </w:rPr>
              <w:fldChar w:fldCharType="begin"/>
            </w:r>
            <w:r w:rsidR="00471D5B">
              <w:rPr>
                <w:noProof/>
                <w:webHidden/>
              </w:rPr>
              <w:instrText xml:space="preserve"> PAGEREF _Toc155529547 \h </w:instrText>
            </w:r>
            <w:r w:rsidR="00471D5B">
              <w:rPr>
                <w:noProof/>
                <w:webHidden/>
              </w:rPr>
            </w:r>
            <w:r w:rsidR="00471D5B">
              <w:rPr>
                <w:noProof/>
                <w:webHidden/>
              </w:rPr>
              <w:fldChar w:fldCharType="separate"/>
            </w:r>
            <w:r w:rsidR="00471D5B">
              <w:rPr>
                <w:noProof/>
                <w:webHidden/>
              </w:rPr>
              <w:t>10</w:t>
            </w:r>
            <w:r w:rsidR="00471D5B">
              <w:rPr>
                <w:noProof/>
                <w:webHidden/>
              </w:rPr>
              <w:fldChar w:fldCharType="end"/>
            </w:r>
          </w:hyperlink>
        </w:p>
        <w:p w14:paraId="33A3F113" w14:textId="1186FABA" w:rsidR="00471D5B" w:rsidRDefault="00000000">
          <w:pPr>
            <w:pStyle w:val="Verzeichnis1"/>
            <w:tabs>
              <w:tab w:val="left" w:pos="440"/>
              <w:tab w:val="right" w:leader="dot" w:pos="9062"/>
            </w:tabs>
            <w:rPr>
              <w:noProof/>
              <w:kern w:val="2"/>
              <w:lang w:eastAsia="ja-JP"/>
              <w14:ligatures w14:val="standardContextual"/>
            </w:rPr>
          </w:pPr>
          <w:hyperlink w:anchor="_Toc155529548" w:history="1">
            <w:r w:rsidR="00471D5B" w:rsidRPr="004F1558">
              <w:rPr>
                <w:rStyle w:val="Hyperlink"/>
                <w:noProof/>
              </w:rPr>
              <w:t>3</w:t>
            </w:r>
            <w:r w:rsidR="00471D5B">
              <w:rPr>
                <w:noProof/>
                <w:kern w:val="2"/>
                <w:lang w:eastAsia="ja-JP"/>
                <w14:ligatures w14:val="standardContextual"/>
              </w:rPr>
              <w:tab/>
            </w:r>
            <w:r w:rsidR="00471D5B" w:rsidRPr="004F1558">
              <w:rPr>
                <w:rStyle w:val="Hyperlink"/>
                <w:noProof/>
              </w:rPr>
              <w:t>Technologische Grundlagen</w:t>
            </w:r>
            <w:r w:rsidR="00471D5B">
              <w:rPr>
                <w:noProof/>
                <w:webHidden/>
              </w:rPr>
              <w:tab/>
            </w:r>
            <w:r w:rsidR="00471D5B">
              <w:rPr>
                <w:noProof/>
                <w:webHidden/>
              </w:rPr>
              <w:fldChar w:fldCharType="begin"/>
            </w:r>
            <w:r w:rsidR="00471D5B">
              <w:rPr>
                <w:noProof/>
                <w:webHidden/>
              </w:rPr>
              <w:instrText xml:space="preserve"> PAGEREF _Toc155529548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3642A9D" w14:textId="777CFCEA" w:rsidR="00471D5B" w:rsidRDefault="00000000">
          <w:pPr>
            <w:pStyle w:val="Verzeichnis2"/>
            <w:tabs>
              <w:tab w:val="left" w:pos="880"/>
              <w:tab w:val="right" w:leader="dot" w:pos="9062"/>
            </w:tabs>
            <w:rPr>
              <w:noProof/>
              <w:kern w:val="2"/>
              <w:lang w:eastAsia="ja-JP"/>
              <w14:ligatures w14:val="standardContextual"/>
            </w:rPr>
          </w:pPr>
          <w:hyperlink w:anchor="_Toc155529549" w:history="1">
            <w:r w:rsidR="00471D5B" w:rsidRPr="004F1558">
              <w:rPr>
                <w:rStyle w:val="Hyperlink"/>
                <w:noProof/>
              </w:rPr>
              <w:t>3.1</w:t>
            </w:r>
            <w:r w:rsidR="00471D5B">
              <w:rPr>
                <w:noProof/>
                <w:kern w:val="2"/>
                <w:lang w:eastAsia="ja-JP"/>
                <w14:ligatures w14:val="standardContextual"/>
              </w:rPr>
              <w:tab/>
            </w:r>
            <w:r w:rsidR="00471D5B" w:rsidRPr="004F1558">
              <w:rPr>
                <w:rStyle w:val="Hyperlink"/>
                <w:noProof/>
              </w:rPr>
              <w:t>Relationale Datenbanken und SQL</w:t>
            </w:r>
            <w:r w:rsidR="00471D5B">
              <w:rPr>
                <w:noProof/>
                <w:webHidden/>
              </w:rPr>
              <w:tab/>
            </w:r>
            <w:r w:rsidR="00471D5B">
              <w:rPr>
                <w:noProof/>
                <w:webHidden/>
              </w:rPr>
              <w:fldChar w:fldCharType="begin"/>
            </w:r>
            <w:r w:rsidR="00471D5B">
              <w:rPr>
                <w:noProof/>
                <w:webHidden/>
              </w:rPr>
              <w:instrText xml:space="preserve"> PAGEREF _Toc155529549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24C3922B" w14:textId="4D2DDF72" w:rsidR="00471D5B" w:rsidRDefault="00000000">
          <w:pPr>
            <w:pStyle w:val="Verzeichnis2"/>
            <w:tabs>
              <w:tab w:val="left" w:pos="880"/>
              <w:tab w:val="right" w:leader="dot" w:pos="9062"/>
            </w:tabs>
            <w:rPr>
              <w:noProof/>
              <w:kern w:val="2"/>
              <w:lang w:eastAsia="ja-JP"/>
              <w14:ligatures w14:val="standardContextual"/>
            </w:rPr>
          </w:pPr>
          <w:hyperlink w:anchor="_Toc155529550" w:history="1">
            <w:r w:rsidR="00471D5B" w:rsidRPr="004F1558">
              <w:rPr>
                <w:rStyle w:val="Hyperlink"/>
                <w:noProof/>
              </w:rPr>
              <w:t>3.2</w:t>
            </w:r>
            <w:r w:rsidR="00471D5B">
              <w:rPr>
                <w:noProof/>
                <w:kern w:val="2"/>
                <w:lang w:eastAsia="ja-JP"/>
                <w14:ligatures w14:val="standardContextual"/>
              </w:rPr>
              <w:tab/>
            </w:r>
            <w:r w:rsidR="00471D5B" w:rsidRPr="004F1558">
              <w:rPr>
                <w:rStyle w:val="Hyperlink"/>
                <w:noProof/>
              </w:rPr>
              <w:t>Mandantenfähigkeit</w:t>
            </w:r>
            <w:r w:rsidR="00471D5B">
              <w:rPr>
                <w:noProof/>
                <w:webHidden/>
              </w:rPr>
              <w:tab/>
            </w:r>
            <w:r w:rsidR="00471D5B">
              <w:rPr>
                <w:noProof/>
                <w:webHidden/>
              </w:rPr>
              <w:fldChar w:fldCharType="begin"/>
            </w:r>
            <w:r w:rsidR="00471D5B">
              <w:rPr>
                <w:noProof/>
                <w:webHidden/>
              </w:rPr>
              <w:instrText xml:space="preserve"> PAGEREF _Toc155529550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DCB39E2" w14:textId="1DBAF471" w:rsidR="00471D5B" w:rsidRDefault="00000000">
          <w:pPr>
            <w:pStyle w:val="Verzeichnis2"/>
            <w:tabs>
              <w:tab w:val="left" w:pos="880"/>
              <w:tab w:val="right" w:leader="dot" w:pos="9062"/>
            </w:tabs>
            <w:rPr>
              <w:noProof/>
              <w:kern w:val="2"/>
              <w:lang w:eastAsia="ja-JP"/>
              <w14:ligatures w14:val="standardContextual"/>
            </w:rPr>
          </w:pPr>
          <w:hyperlink w:anchor="_Toc155529551" w:history="1">
            <w:r w:rsidR="00471D5B" w:rsidRPr="004F1558">
              <w:rPr>
                <w:rStyle w:val="Hyperlink"/>
                <w:noProof/>
              </w:rPr>
              <w:t>3.3</w:t>
            </w:r>
            <w:r w:rsidR="00471D5B">
              <w:rPr>
                <w:noProof/>
                <w:kern w:val="2"/>
                <w:lang w:eastAsia="ja-JP"/>
                <w14:ligatures w14:val="standardContextual"/>
              </w:rPr>
              <w:tab/>
            </w:r>
            <w:r w:rsidR="00471D5B" w:rsidRPr="004F1558">
              <w:rPr>
                <w:rStyle w:val="Hyperlink"/>
                <w:noProof/>
              </w:rPr>
              <w:t>Testing</w:t>
            </w:r>
            <w:r w:rsidR="00471D5B">
              <w:rPr>
                <w:noProof/>
                <w:webHidden/>
              </w:rPr>
              <w:tab/>
            </w:r>
            <w:r w:rsidR="00471D5B">
              <w:rPr>
                <w:noProof/>
                <w:webHidden/>
              </w:rPr>
              <w:fldChar w:fldCharType="begin"/>
            </w:r>
            <w:r w:rsidR="00471D5B">
              <w:rPr>
                <w:noProof/>
                <w:webHidden/>
              </w:rPr>
              <w:instrText xml:space="preserve"> PAGEREF _Toc155529551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8789121" w14:textId="47074E7D" w:rsidR="00471D5B" w:rsidRDefault="00000000">
          <w:pPr>
            <w:pStyle w:val="Verzeichnis2"/>
            <w:tabs>
              <w:tab w:val="left" w:pos="880"/>
              <w:tab w:val="right" w:leader="dot" w:pos="9062"/>
            </w:tabs>
            <w:rPr>
              <w:noProof/>
              <w:kern w:val="2"/>
              <w:lang w:eastAsia="ja-JP"/>
              <w14:ligatures w14:val="standardContextual"/>
            </w:rPr>
          </w:pPr>
          <w:hyperlink w:anchor="_Toc155529552" w:history="1">
            <w:r w:rsidR="00471D5B" w:rsidRPr="004F1558">
              <w:rPr>
                <w:rStyle w:val="Hyperlink"/>
                <w:noProof/>
              </w:rPr>
              <w:t>3.4</w:t>
            </w:r>
            <w:r w:rsidR="00471D5B">
              <w:rPr>
                <w:noProof/>
                <w:kern w:val="2"/>
                <w:lang w:eastAsia="ja-JP"/>
                <w14:ligatures w14:val="standardContextual"/>
              </w:rPr>
              <w:tab/>
            </w:r>
            <w:r w:rsidR="00471D5B" w:rsidRPr="004F1558">
              <w:rPr>
                <w:rStyle w:val="Hyperlink"/>
                <w:noProof/>
              </w:rPr>
              <w:t>Verwendete Technologien</w:t>
            </w:r>
            <w:r w:rsidR="00471D5B">
              <w:rPr>
                <w:noProof/>
                <w:webHidden/>
              </w:rPr>
              <w:tab/>
            </w:r>
            <w:r w:rsidR="00471D5B">
              <w:rPr>
                <w:noProof/>
                <w:webHidden/>
              </w:rPr>
              <w:fldChar w:fldCharType="begin"/>
            </w:r>
            <w:r w:rsidR="00471D5B">
              <w:rPr>
                <w:noProof/>
                <w:webHidden/>
              </w:rPr>
              <w:instrText xml:space="preserve"> PAGEREF _Toc155529552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44648CE8" w14:textId="360F6649" w:rsidR="00471D5B" w:rsidRDefault="00000000">
          <w:pPr>
            <w:pStyle w:val="Verzeichnis1"/>
            <w:tabs>
              <w:tab w:val="left" w:pos="440"/>
              <w:tab w:val="right" w:leader="dot" w:pos="9062"/>
            </w:tabs>
            <w:rPr>
              <w:noProof/>
              <w:kern w:val="2"/>
              <w:lang w:eastAsia="ja-JP"/>
              <w14:ligatures w14:val="standardContextual"/>
            </w:rPr>
          </w:pPr>
          <w:hyperlink w:anchor="_Toc155529553" w:history="1">
            <w:r w:rsidR="00471D5B" w:rsidRPr="004F1558">
              <w:rPr>
                <w:rStyle w:val="Hyperlink"/>
                <w:noProof/>
              </w:rPr>
              <w:t>4</w:t>
            </w:r>
            <w:r w:rsidR="00471D5B">
              <w:rPr>
                <w:noProof/>
                <w:kern w:val="2"/>
                <w:lang w:eastAsia="ja-JP"/>
                <w14:ligatures w14:val="standardContextual"/>
              </w:rPr>
              <w:tab/>
            </w:r>
            <w:r w:rsidR="00471D5B" w:rsidRPr="004F1558">
              <w:rPr>
                <w:rStyle w:val="Hyperlink"/>
                <w:noProof/>
              </w:rPr>
              <w:t>Anforderungen</w:t>
            </w:r>
            <w:r w:rsidR="00471D5B">
              <w:rPr>
                <w:noProof/>
                <w:webHidden/>
              </w:rPr>
              <w:tab/>
            </w:r>
            <w:r w:rsidR="00471D5B">
              <w:rPr>
                <w:noProof/>
                <w:webHidden/>
              </w:rPr>
              <w:fldChar w:fldCharType="begin"/>
            </w:r>
            <w:r w:rsidR="00471D5B">
              <w:rPr>
                <w:noProof/>
                <w:webHidden/>
              </w:rPr>
              <w:instrText xml:space="preserve"> PAGEREF _Toc155529553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607E8C1A" w14:textId="2EA647B6" w:rsidR="00471D5B" w:rsidRDefault="00000000">
          <w:pPr>
            <w:pStyle w:val="Verzeichnis2"/>
            <w:tabs>
              <w:tab w:val="left" w:pos="880"/>
              <w:tab w:val="right" w:leader="dot" w:pos="9062"/>
            </w:tabs>
            <w:rPr>
              <w:noProof/>
              <w:kern w:val="2"/>
              <w:lang w:eastAsia="ja-JP"/>
              <w14:ligatures w14:val="standardContextual"/>
            </w:rPr>
          </w:pPr>
          <w:hyperlink w:anchor="_Toc155529554" w:history="1">
            <w:r w:rsidR="00471D5B" w:rsidRPr="004F1558">
              <w:rPr>
                <w:rStyle w:val="Hyperlink"/>
                <w:noProof/>
              </w:rPr>
              <w:t>4.1</w:t>
            </w:r>
            <w:r w:rsidR="00471D5B">
              <w:rPr>
                <w:noProof/>
                <w:kern w:val="2"/>
                <w:lang w:eastAsia="ja-JP"/>
                <w14:ligatures w14:val="standardContextual"/>
              </w:rPr>
              <w:tab/>
            </w:r>
            <w:r w:rsidR="00471D5B" w:rsidRPr="004F1558">
              <w:rPr>
                <w:rStyle w:val="Hyperlink"/>
                <w:noProof/>
              </w:rPr>
              <w:t>Funktionale Anforderungen</w:t>
            </w:r>
            <w:r w:rsidR="00471D5B">
              <w:rPr>
                <w:noProof/>
                <w:webHidden/>
              </w:rPr>
              <w:tab/>
            </w:r>
            <w:r w:rsidR="00471D5B">
              <w:rPr>
                <w:noProof/>
                <w:webHidden/>
              </w:rPr>
              <w:fldChar w:fldCharType="begin"/>
            </w:r>
            <w:r w:rsidR="00471D5B">
              <w:rPr>
                <w:noProof/>
                <w:webHidden/>
              </w:rPr>
              <w:instrText xml:space="preserve"> PAGEREF _Toc155529554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71D1A9E5" w14:textId="78060439" w:rsidR="00471D5B" w:rsidRDefault="00000000">
          <w:pPr>
            <w:pStyle w:val="Verzeichnis2"/>
            <w:tabs>
              <w:tab w:val="left" w:pos="880"/>
              <w:tab w:val="right" w:leader="dot" w:pos="9062"/>
            </w:tabs>
            <w:rPr>
              <w:noProof/>
              <w:kern w:val="2"/>
              <w:lang w:eastAsia="ja-JP"/>
              <w14:ligatures w14:val="standardContextual"/>
            </w:rPr>
          </w:pPr>
          <w:hyperlink w:anchor="_Toc155529555" w:history="1">
            <w:r w:rsidR="00471D5B" w:rsidRPr="004F1558">
              <w:rPr>
                <w:rStyle w:val="Hyperlink"/>
                <w:noProof/>
              </w:rPr>
              <w:t>4.2</w:t>
            </w:r>
            <w:r w:rsidR="00471D5B">
              <w:rPr>
                <w:noProof/>
                <w:kern w:val="2"/>
                <w:lang w:eastAsia="ja-JP"/>
                <w14:ligatures w14:val="standardContextual"/>
              </w:rPr>
              <w:tab/>
            </w:r>
            <w:r w:rsidR="00471D5B" w:rsidRPr="004F1558">
              <w:rPr>
                <w:rStyle w:val="Hyperlink"/>
                <w:noProof/>
              </w:rPr>
              <w:t>Nichtfunktionale Anforderungen</w:t>
            </w:r>
            <w:r w:rsidR="00471D5B">
              <w:rPr>
                <w:noProof/>
                <w:webHidden/>
              </w:rPr>
              <w:tab/>
            </w:r>
            <w:r w:rsidR="00471D5B">
              <w:rPr>
                <w:noProof/>
                <w:webHidden/>
              </w:rPr>
              <w:fldChar w:fldCharType="begin"/>
            </w:r>
            <w:r w:rsidR="00471D5B">
              <w:rPr>
                <w:noProof/>
                <w:webHidden/>
              </w:rPr>
              <w:instrText xml:space="preserve"> PAGEREF _Toc155529555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136F97FA" w14:textId="0B297DC7" w:rsidR="00471D5B" w:rsidRDefault="00000000">
          <w:pPr>
            <w:pStyle w:val="Verzeichnis1"/>
            <w:tabs>
              <w:tab w:val="left" w:pos="440"/>
              <w:tab w:val="right" w:leader="dot" w:pos="9062"/>
            </w:tabs>
            <w:rPr>
              <w:noProof/>
              <w:kern w:val="2"/>
              <w:lang w:eastAsia="ja-JP"/>
              <w14:ligatures w14:val="standardContextual"/>
            </w:rPr>
          </w:pPr>
          <w:hyperlink w:anchor="_Toc155529556" w:history="1">
            <w:r w:rsidR="00471D5B" w:rsidRPr="004F1558">
              <w:rPr>
                <w:rStyle w:val="Hyperlink"/>
                <w:noProof/>
              </w:rPr>
              <w:t>5</w:t>
            </w:r>
            <w:r w:rsidR="00471D5B">
              <w:rPr>
                <w:noProof/>
                <w:kern w:val="2"/>
                <w:lang w:eastAsia="ja-JP"/>
                <w14:ligatures w14:val="standardContextual"/>
              </w:rPr>
              <w:tab/>
            </w:r>
            <w:r w:rsidR="00471D5B" w:rsidRPr="004F1558">
              <w:rPr>
                <w:rStyle w:val="Hyperlink"/>
                <w:noProof/>
              </w:rPr>
              <w:t>Ausgewählte Aspekte der Implementierung</w:t>
            </w:r>
            <w:r w:rsidR="00471D5B">
              <w:rPr>
                <w:noProof/>
                <w:webHidden/>
              </w:rPr>
              <w:tab/>
            </w:r>
            <w:r w:rsidR="00471D5B">
              <w:rPr>
                <w:noProof/>
                <w:webHidden/>
              </w:rPr>
              <w:fldChar w:fldCharType="begin"/>
            </w:r>
            <w:r w:rsidR="00471D5B">
              <w:rPr>
                <w:noProof/>
                <w:webHidden/>
              </w:rPr>
              <w:instrText xml:space="preserve"> PAGEREF _Toc155529556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B2606F2" w14:textId="15DD7444" w:rsidR="00471D5B" w:rsidRDefault="00000000">
          <w:pPr>
            <w:pStyle w:val="Verzeichnis2"/>
            <w:tabs>
              <w:tab w:val="left" w:pos="880"/>
              <w:tab w:val="right" w:leader="dot" w:pos="9062"/>
            </w:tabs>
            <w:rPr>
              <w:noProof/>
              <w:kern w:val="2"/>
              <w:lang w:eastAsia="ja-JP"/>
              <w14:ligatures w14:val="standardContextual"/>
            </w:rPr>
          </w:pPr>
          <w:hyperlink w:anchor="_Toc155529557" w:history="1">
            <w:r w:rsidR="00471D5B" w:rsidRPr="004F1558">
              <w:rPr>
                <w:rStyle w:val="Hyperlink"/>
                <w:noProof/>
              </w:rPr>
              <w:t>5.1</w:t>
            </w:r>
            <w:r w:rsidR="00471D5B">
              <w:rPr>
                <w:noProof/>
                <w:kern w:val="2"/>
                <w:lang w:eastAsia="ja-JP"/>
                <w14:ligatures w14:val="standardContextual"/>
              </w:rPr>
              <w:tab/>
            </w:r>
            <w:r w:rsidR="00471D5B" w:rsidRPr="004F1558">
              <w:rPr>
                <w:rStyle w:val="Hyperlink"/>
                <w:noProof/>
              </w:rPr>
              <w:t>Struktur des Datenimports</w:t>
            </w:r>
            <w:r w:rsidR="00471D5B">
              <w:rPr>
                <w:noProof/>
                <w:webHidden/>
              </w:rPr>
              <w:tab/>
            </w:r>
            <w:r w:rsidR="00471D5B">
              <w:rPr>
                <w:noProof/>
                <w:webHidden/>
              </w:rPr>
              <w:fldChar w:fldCharType="begin"/>
            </w:r>
            <w:r w:rsidR="00471D5B">
              <w:rPr>
                <w:noProof/>
                <w:webHidden/>
              </w:rPr>
              <w:instrText xml:space="preserve"> PAGEREF _Toc155529557 \h </w:instrText>
            </w:r>
            <w:r w:rsidR="00471D5B">
              <w:rPr>
                <w:noProof/>
                <w:webHidden/>
              </w:rPr>
            </w:r>
            <w:r w:rsidR="00471D5B">
              <w:rPr>
                <w:noProof/>
                <w:webHidden/>
              </w:rPr>
              <w:fldChar w:fldCharType="separate"/>
            </w:r>
            <w:r w:rsidR="00471D5B">
              <w:rPr>
                <w:noProof/>
                <w:webHidden/>
              </w:rPr>
              <w:t>11</w:t>
            </w:r>
            <w:r w:rsidR="00471D5B">
              <w:rPr>
                <w:noProof/>
                <w:webHidden/>
              </w:rPr>
              <w:fldChar w:fldCharType="end"/>
            </w:r>
          </w:hyperlink>
        </w:p>
        <w:p w14:paraId="3CE54370" w14:textId="0A09C096" w:rsidR="00471D5B" w:rsidRDefault="00000000">
          <w:pPr>
            <w:pStyle w:val="Verzeichnis2"/>
            <w:tabs>
              <w:tab w:val="left" w:pos="880"/>
              <w:tab w:val="right" w:leader="dot" w:pos="9062"/>
            </w:tabs>
            <w:rPr>
              <w:noProof/>
              <w:kern w:val="2"/>
              <w:lang w:eastAsia="ja-JP"/>
              <w14:ligatures w14:val="standardContextual"/>
            </w:rPr>
          </w:pPr>
          <w:hyperlink w:anchor="_Toc155529558" w:history="1">
            <w:r w:rsidR="00471D5B" w:rsidRPr="004F1558">
              <w:rPr>
                <w:rStyle w:val="Hyperlink"/>
                <w:noProof/>
              </w:rPr>
              <w:t>5.2</w:t>
            </w:r>
            <w:r w:rsidR="00471D5B">
              <w:rPr>
                <w:noProof/>
                <w:kern w:val="2"/>
                <w:lang w:eastAsia="ja-JP"/>
                <w14:ligatures w14:val="standardContextual"/>
              </w:rPr>
              <w:tab/>
            </w:r>
            <w:r w:rsidR="00471D5B" w:rsidRPr="004F1558">
              <w:rPr>
                <w:rStyle w:val="Hyperlink"/>
                <w:noProof/>
              </w:rPr>
              <w:t>Mandantenfähige Datenbank</w:t>
            </w:r>
            <w:r w:rsidR="00471D5B">
              <w:rPr>
                <w:noProof/>
                <w:webHidden/>
              </w:rPr>
              <w:tab/>
            </w:r>
            <w:r w:rsidR="00471D5B">
              <w:rPr>
                <w:noProof/>
                <w:webHidden/>
              </w:rPr>
              <w:fldChar w:fldCharType="begin"/>
            </w:r>
            <w:r w:rsidR="00471D5B">
              <w:rPr>
                <w:noProof/>
                <w:webHidden/>
              </w:rPr>
              <w:instrText xml:space="preserve"> PAGEREF _Toc155529558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4258EB24" w14:textId="59D39E62" w:rsidR="00471D5B" w:rsidRDefault="00000000">
          <w:pPr>
            <w:pStyle w:val="Verzeichnis1"/>
            <w:tabs>
              <w:tab w:val="left" w:pos="440"/>
              <w:tab w:val="right" w:leader="dot" w:pos="9062"/>
            </w:tabs>
            <w:rPr>
              <w:noProof/>
              <w:kern w:val="2"/>
              <w:lang w:eastAsia="ja-JP"/>
              <w14:ligatures w14:val="standardContextual"/>
            </w:rPr>
          </w:pPr>
          <w:hyperlink w:anchor="_Toc155529559" w:history="1">
            <w:r w:rsidR="00471D5B" w:rsidRPr="004F1558">
              <w:rPr>
                <w:rStyle w:val="Hyperlink"/>
                <w:noProof/>
              </w:rPr>
              <w:t>6</w:t>
            </w:r>
            <w:r w:rsidR="00471D5B">
              <w:rPr>
                <w:noProof/>
                <w:kern w:val="2"/>
                <w:lang w:eastAsia="ja-JP"/>
                <w14:ligatures w14:val="standardContextual"/>
              </w:rPr>
              <w:tab/>
            </w:r>
            <w:r w:rsidR="00471D5B" w:rsidRPr="004F1558">
              <w:rPr>
                <w:rStyle w:val="Hyperlink"/>
                <w:noProof/>
              </w:rPr>
              <w:t>Tests</w:t>
            </w:r>
            <w:r w:rsidR="00471D5B">
              <w:rPr>
                <w:noProof/>
                <w:webHidden/>
              </w:rPr>
              <w:tab/>
            </w:r>
            <w:r w:rsidR="00471D5B">
              <w:rPr>
                <w:noProof/>
                <w:webHidden/>
              </w:rPr>
              <w:fldChar w:fldCharType="begin"/>
            </w:r>
            <w:r w:rsidR="00471D5B">
              <w:rPr>
                <w:noProof/>
                <w:webHidden/>
              </w:rPr>
              <w:instrText xml:space="preserve"> PAGEREF _Toc155529559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68419A8B" w14:textId="03588DD5" w:rsidR="00471D5B" w:rsidRDefault="00000000">
          <w:pPr>
            <w:pStyle w:val="Verzeichnis2"/>
            <w:tabs>
              <w:tab w:val="left" w:pos="880"/>
              <w:tab w:val="right" w:leader="dot" w:pos="9062"/>
            </w:tabs>
            <w:rPr>
              <w:noProof/>
              <w:kern w:val="2"/>
              <w:lang w:eastAsia="ja-JP"/>
              <w14:ligatures w14:val="standardContextual"/>
            </w:rPr>
          </w:pPr>
          <w:hyperlink w:anchor="_Toc155529560" w:history="1">
            <w:r w:rsidR="00471D5B" w:rsidRPr="004F1558">
              <w:rPr>
                <w:rStyle w:val="Hyperlink"/>
                <w:noProof/>
              </w:rPr>
              <w:t>6.1</w:t>
            </w:r>
            <w:r w:rsidR="00471D5B">
              <w:rPr>
                <w:noProof/>
                <w:kern w:val="2"/>
                <w:lang w:eastAsia="ja-JP"/>
                <w14:ligatures w14:val="standardContextual"/>
              </w:rPr>
              <w:tab/>
            </w:r>
            <w:r w:rsidR="00471D5B" w:rsidRPr="004F1558">
              <w:rPr>
                <w:rStyle w:val="Hyperlink"/>
                <w:noProof/>
              </w:rPr>
              <w:t>Unit-Tests</w:t>
            </w:r>
            <w:r w:rsidR="00471D5B">
              <w:rPr>
                <w:noProof/>
                <w:webHidden/>
              </w:rPr>
              <w:tab/>
            </w:r>
            <w:r w:rsidR="00471D5B">
              <w:rPr>
                <w:noProof/>
                <w:webHidden/>
              </w:rPr>
              <w:fldChar w:fldCharType="begin"/>
            </w:r>
            <w:r w:rsidR="00471D5B">
              <w:rPr>
                <w:noProof/>
                <w:webHidden/>
              </w:rPr>
              <w:instrText xml:space="preserve"> PAGEREF _Toc155529560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7D2B7DD" w14:textId="5B227A6B" w:rsidR="00471D5B" w:rsidRDefault="00000000">
          <w:pPr>
            <w:pStyle w:val="Verzeichnis2"/>
            <w:tabs>
              <w:tab w:val="left" w:pos="880"/>
              <w:tab w:val="right" w:leader="dot" w:pos="9062"/>
            </w:tabs>
            <w:rPr>
              <w:noProof/>
              <w:kern w:val="2"/>
              <w:lang w:eastAsia="ja-JP"/>
              <w14:ligatures w14:val="standardContextual"/>
            </w:rPr>
          </w:pPr>
          <w:hyperlink w:anchor="_Toc155529561" w:history="1">
            <w:r w:rsidR="00471D5B" w:rsidRPr="004F1558">
              <w:rPr>
                <w:rStyle w:val="Hyperlink"/>
                <w:noProof/>
              </w:rPr>
              <w:t>6.2</w:t>
            </w:r>
            <w:r w:rsidR="00471D5B">
              <w:rPr>
                <w:noProof/>
                <w:kern w:val="2"/>
                <w:lang w:eastAsia="ja-JP"/>
                <w14:ligatures w14:val="standardContextual"/>
              </w:rPr>
              <w:tab/>
            </w:r>
            <w:r w:rsidR="00471D5B" w:rsidRPr="004F1558">
              <w:rPr>
                <w:rStyle w:val="Hyperlink"/>
                <w:noProof/>
              </w:rPr>
              <w:t>Integrationstests</w:t>
            </w:r>
            <w:r w:rsidR="00471D5B">
              <w:rPr>
                <w:noProof/>
                <w:webHidden/>
              </w:rPr>
              <w:tab/>
            </w:r>
            <w:r w:rsidR="00471D5B">
              <w:rPr>
                <w:noProof/>
                <w:webHidden/>
              </w:rPr>
              <w:fldChar w:fldCharType="begin"/>
            </w:r>
            <w:r w:rsidR="00471D5B">
              <w:rPr>
                <w:noProof/>
                <w:webHidden/>
              </w:rPr>
              <w:instrText xml:space="preserve"> PAGEREF _Toc155529561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29E46C4F" w14:textId="17156192" w:rsidR="00471D5B" w:rsidRDefault="00000000">
          <w:pPr>
            <w:pStyle w:val="Verzeichnis1"/>
            <w:tabs>
              <w:tab w:val="left" w:pos="440"/>
              <w:tab w:val="right" w:leader="dot" w:pos="9062"/>
            </w:tabs>
            <w:rPr>
              <w:noProof/>
              <w:kern w:val="2"/>
              <w:lang w:eastAsia="ja-JP"/>
              <w14:ligatures w14:val="standardContextual"/>
            </w:rPr>
          </w:pPr>
          <w:hyperlink w:anchor="_Toc155529562" w:history="1">
            <w:r w:rsidR="00471D5B" w:rsidRPr="004F1558">
              <w:rPr>
                <w:rStyle w:val="Hyperlink"/>
                <w:noProof/>
              </w:rPr>
              <w:t>7</w:t>
            </w:r>
            <w:r w:rsidR="00471D5B">
              <w:rPr>
                <w:noProof/>
                <w:kern w:val="2"/>
                <w:lang w:eastAsia="ja-JP"/>
                <w14:ligatures w14:val="standardContextual"/>
              </w:rPr>
              <w:tab/>
            </w:r>
            <w:r w:rsidR="00471D5B" w:rsidRPr="004F1558">
              <w:rPr>
                <w:rStyle w:val="Hyperlink"/>
                <w:noProof/>
              </w:rPr>
              <w:t>Fazit</w:t>
            </w:r>
            <w:r w:rsidR="00471D5B">
              <w:rPr>
                <w:noProof/>
                <w:webHidden/>
              </w:rPr>
              <w:tab/>
            </w:r>
            <w:r w:rsidR="00471D5B">
              <w:rPr>
                <w:noProof/>
                <w:webHidden/>
              </w:rPr>
              <w:fldChar w:fldCharType="begin"/>
            </w:r>
            <w:r w:rsidR="00471D5B">
              <w:rPr>
                <w:noProof/>
                <w:webHidden/>
              </w:rPr>
              <w:instrText xml:space="preserve"> PAGEREF _Toc155529562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B1BD011" w14:textId="499D8F75" w:rsidR="00471D5B" w:rsidRDefault="00000000">
          <w:pPr>
            <w:pStyle w:val="Verzeichnis1"/>
            <w:tabs>
              <w:tab w:val="right" w:leader="dot" w:pos="9062"/>
            </w:tabs>
            <w:rPr>
              <w:noProof/>
              <w:kern w:val="2"/>
              <w:lang w:eastAsia="ja-JP"/>
              <w14:ligatures w14:val="standardContextual"/>
            </w:rPr>
          </w:pPr>
          <w:hyperlink w:anchor="_Toc155529563" w:history="1">
            <w:r w:rsidR="00471D5B" w:rsidRPr="004F1558">
              <w:rPr>
                <w:rStyle w:val="Hyperlink"/>
                <w:noProof/>
              </w:rPr>
              <w:t>Quellenverzeichnis</w:t>
            </w:r>
            <w:r w:rsidR="00471D5B">
              <w:rPr>
                <w:noProof/>
                <w:webHidden/>
              </w:rPr>
              <w:tab/>
            </w:r>
            <w:r w:rsidR="00471D5B">
              <w:rPr>
                <w:noProof/>
                <w:webHidden/>
              </w:rPr>
              <w:fldChar w:fldCharType="begin"/>
            </w:r>
            <w:r w:rsidR="00471D5B">
              <w:rPr>
                <w:noProof/>
                <w:webHidden/>
              </w:rPr>
              <w:instrText xml:space="preserve"> PAGEREF _Toc155529563 \h </w:instrText>
            </w:r>
            <w:r w:rsidR="00471D5B">
              <w:rPr>
                <w:noProof/>
                <w:webHidden/>
              </w:rPr>
            </w:r>
            <w:r w:rsidR="00471D5B">
              <w:rPr>
                <w:noProof/>
                <w:webHidden/>
              </w:rPr>
              <w:fldChar w:fldCharType="separate"/>
            </w:r>
            <w:r w:rsidR="00471D5B">
              <w:rPr>
                <w:noProof/>
                <w:webHidden/>
              </w:rPr>
              <w:t>12</w:t>
            </w:r>
            <w:r w:rsidR="00471D5B">
              <w:rPr>
                <w:noProof/>
                <w:webHidden/>
              </w:rPr>
              <w:fldChar w:fldCharType="end"/>
            </w:r>
          </w:hyperlink>
        </w:p>
        <w:p w14:paraId="3509ECF3" w14:textId="60CEE799" w:rsidR="00471D5B" w:rsidRDefault="00000000">
          <w:pPr>
            <w:pStyle w:val="Verzeichnis1"/>
            <w:tabs>
              <w:tab w:val="right" w:leader="dot" w:pos="9062"/>
            </w:tabs>
            <w:rPr>
              <w:noProof/>
              <w:kern w:val="2"/>
              <w:lang w:eastAsia="ja-JP"/>
              <w14:ligatures w14:val="standardContextual"/>
            </w:rPr>
          </w:pPr>
          <w:hyperlink w:anchor="_Toc155529564" w:history="1">
            <w:r w:rsidR="00471D5B" w:rsidRPr="004F1558">
              <w:rPr>
                <w:rStyle w:val="Hyperlink"/>
                <w:noProof/>
              </w:rPr>
              <w:t>Anhang</w:t>
            </w:r>
            <w:r w:rsidR="00471D5B">
              <w:rPr>
                <w:noProof/>
                <w:webHidden/>
              </w:rPr>
              <w:tab/>
            </w:r>
            <w:r w:rsidR="00471D5B">
              <w:rPr>
                <w:noProof/>
                <w:webHidden/>
              </w:rPr>
              <w:fldChar w:fldCharType="begin"/>
            </w:r>
            <w:r w:rsidR="00471D5B">
              <w:rPr>
                <w:noProof/>
                <w:webHidden/>
              </w:rPr>
              <w:instrText xml:space="preserve"> PAGEREF _Toc155529564 \h </w:instrText>
            </w:r>
            <w:r w:rsidR="00471D5B">
              <w:rPr>
                <w:noProof/>
                <w:webHidden/>
              </w:rPr>
            </w:r>
            <w:r w:rsidR="00471D5B">
              <w:rPr>
                <w:noProof/>
                <w:webHidden/>
              </w:rPr>
              <w:fldChar w:fldCharType="separate"/>
            </w:r>
            <w:r w:rsidR="00471D5B">
              <w:rPr>
                <w:noProof/>
                <w:webHidden/>
              </w:rPr>
              <w:t>18</w:t>
            </w:r>
            <w:r w:rsidR="00471D5B">
              <w:rPr>
                <w:noProof/>
                <w:webHidden/>
              </w:rPr>
              <w:fldChar w:fldCharType="end"/>
            </w:r>
          </w:hyperlink>
        </w:p>
        <w:p w14:paraId="7B1BE934" w14:textId="58D3F8C6"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529529"/>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2048DA0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04803CC2" w14:textId="25E0FC10"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73E55" w14:paraId="5CCA44CB" w14:textId="77777777" w:rsidTr="00E316B4">
        <w:tc>
          <w:tcPr>
            <w:tcW w:w="4531" w:type="dxa"/>
          </w:tcPr>
          <w:p w14:paraId="27549B45" w14:textId="4332AA29"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3D56680" w14:textId="09B6B12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Software as a Service</w:t>
            </w:r>
          </w:p>
        </w:tc>
      </w:tr>
      <w:tr w:rsidR="00D73E55" w:rsidRPr="00C6125D" w14:paraId="2389D801" w14:textId="77777777" w:rsidTr="00E316B4">
        <w:tc>
          <w:tcPr>
            <w:tcW w:w="4531" w:type="dxa"/>
          </w:tcPr>
          <w:p w14:paraId="4DB0F73D" w14:textId="4C86BF79" w:rsidR="00D73E55" w:rsidRPr="006C41C6" w:rsidRDefault="00D73E55" w:rsidP="00D73E55">
            <w:pPr>
              <w:spacing w:line="360" w:lineRule="auto"/>
              <w:rPr>
                <w:rFonts w:cstheme="minorHAnsi"/>
                <w:color w:val="000000" w:themeColor="text1"/>
                <w:sz w:val="24"/>
                <w:szCs w:val="24"/>
              </w:rPr>
            </w:pPr>
          </w:p>
        </w:tc>
        <w:tc>
          <w:tcPr>
            <w:tcW w:w="4531" w:type="dxa"/>
          </w:tcPr>
          <w:p w14:paraId="1909AEF6" w14:textId="6C8F323A" w:rsidR="00D73E55" w:rsidRPr="006C41C6" w:rsidRDefault="00D73E55" w:rsidP="00D73E55">
            <w:pPr>
              <w:spacing w:line="360" w:lineRule="auto"/>
              <w:rPr>
                <w:rFonts w:cstheme="minorHAnsi"/>
                <w:color w:val="000000" w:themeColor="text1"/>
                <w:sz w:val="24"/>
                <w:szCs w:val="24"/>
                <w:lang w:val="en-US"/>
              </w:rPr>
            </w:pPr>
          </w:p>
        </w:tc>
      </w:tr>
      <w:tr w:rsidR="00D73E55" w14:paraId="4CD82954" w14:textId="77777777" w:rsidTr="00E316B4">
        <w:tc>
          <w:tcPr>
            <w:tcW w:w="4531" w:type="dxa"/>
          </w:tcPr>
          <w:p w14:paraId="096F93F6" w14:textId="22C7EF67" w:rsidR="00D73E55" w:rsidRPr="006C41C6" w:rsidRDefault="00D73E55" w:rsidP="00D73E55">
            <w:pPr>
              <w:spacing w:line="360" w:lineRule="auto"/>
              <w:rPr>
                <w:rFonts w:cstheme="minorHAnsi"/>
                <w:color w:val="000000" w:themeColor="text1"/>
                <w:sz w:val="24"/>
                <w:szCs w:val="24"/>
              </w:rPr>
            </w:pPr>
          </w:p>
        </w:tc>
        <w:tc>
          <w:tcPr>
            <w:tcW w:w="4531" w:type="dxa"/>
          </w:tcPr>
          <w:p w14:paraId="188BF8E5" w14:textId="686C6E14" w:rsidR="00D73E55" w:rsidRPr="006C41C6" w:rsidRDefault="00D73E55" w:rsidP="00D73E55">
            <w:pPr>
              <w:spacing w:line="360" w:lineRule="auto"/>
              <w:rPr>
                <w:rFonts w:cstheme="minorHAnsi"/>
                <w:color w:val="000000" w:themeColor="text1"/>
                <w:sz w:val="24"/>
                <w:szCs w:val="24"/>
              </w:rPr>
            </w:pPr>
          </w:p>
        </w:tc>
      </w:tr>
      <w:tr w:rsidR="00D73E55" w14:paraId="5AA71902" w14:textId="77777777" w:rsidTr="00E316B4">
        <w:tc>
          <w:tcPr>
            <w:tcW w:w="4531" w:type="dxa"/>
          </w:tcPr>
          <w:p w14:paraId="63C26C03" w14:textId="5D4E5EF3" w:rsidR="00D73E55" w:rsidRPr="006C41C6" w:rsidRDefault="00D73E55" w:rsidP="00D73E55">
            <w:pPr>
              <w:spacing w:line="360" w:lineRule="auto"/>
              <w:rPr>
                <w:rFonts w:cstheme="minorHAnsi"/>
                <w:color w:val="000000" w:themeColor="text1"/>
                <w:sz w:val="24"/>
                <w:szCs w:val="24"/>
              </w:rPr>
            </w:pPr>
          </w:p>
        </w:tc>
        <w:tc>
          <w:tcPr>
            <w:tcW w:w="4531" w:type="dxa"/>
          </w:tcPr>
          <w:p w14:paraId="34B68F60" w14:textId="6B37F8BD" w:rsidR="00D73E55" w:rsidRPr="006C41C6" w:rsidRDefault="00D73E55" w:rsidP="00D73E55">
            <w:pPr>
              <w:spacing w:line="360" w:lineRule="auto"/>
              <w:rPr>
                <w:rFonts w:cstheme="minorHAnsi"/>
                <w:color w:val="000000" w:themeColor="text1"/>
                <w:sz w:val="24"/>
                <w:szCs w:val="24"/>
              </w:rPr>
            </w:pPr>
          </w:p>
        </w:tc>
      </w:tr>
      <w:tr w:rsidR="00D73E55" w14:paraId="20E4C865" w14:textId="77777777" w:rsidTr="00E316B4">
        <w:tc>
          <w:tcPr>
            <w:tcW w:w="4531" w:type="dxa"/>
          </w:tcPr>
          <w:p w14:paraId="07BD1EE9" w14:textId="0B72D8C8" w:rsidR="00D73E55" w:rsidRPr="006C41C6" w:rsidRDefault="00D73E55" w:rsidP="00D73E55">
            <w:pPr>
              <w:spacing w:line="360" w:lineRule="auto"/>
              <w:rPr>
                <w:rFonts w:cstheme="minorHAnsi"/>
                <w:color w:val="000000" w:themeColor="text1"/>
                <w:sz w:val="24"/>
                <w:szCs w:val="24"/>
              </w:rPr>
            </w:pPr>
          </w:p>
        </w:tc>
        <w:tc>
          <w:tcPr>
            <w:tcW w:w="4531" w:type="dxa"/>
          </w:tcPr>
          <w:p w14:paraId="7D57805F" w14:textId="229D6686" w:rsidR="00D73E55" w:rsidRPr="006C41C6" w:rsidRDefault="00D73E55" w:rsidP="00D73E55">
            <w:pPr>
              <w:spacing w:line="360" w:lineRule="auto"/>
              <w:rPr>
                <w:rFonts w:cstheme="minorHAnsi"/>
                <w:color w:val="000000" w:themeColor="text1"/>
                <w:sz w:val="24"/>
                <w:szCs w:val="24"/>
              </w:rPr>
            </w:pPr>
          </w:p>
        </w:tc>
      </w:tr>
      <w:tr w:rsidR="00D73E55" w14:paraId="7220750E" w14:textId="77777777" w:rsidTr="00E316B4">
        <w:tc>
          <w:tcPr>
            <w:tcW w:w="4531" w:type="dxa"/>
          </w:tcPr>
          <w:p w14:paraId="64DCF158" w14:textId="3E92B474" w:rsidR="00D73E55" w:rsidRPr="006C41C6" w:rsidRDefault="00D73E55" w:rsidP="00D73E55">
            <w:pPr>
              <w:spacing w:line="360" w:lineRule="auto"/>
              <w:rPr>
                <w:rFonts w:cstheme="minorHAnsi"/>
                <w:color w:val="000000" w:themeColor="text1"/>
                <w:sz w:val="24"/>
                <w:szCs w:val="24"/>
              </w:rPr>
            </w:pPr>
          </w:p>
        </w:tc>
        <w:tc>
          <w:tcPr>
            <w:tcW w:w="4531" w:type="dxa"/>
          </w:tcPr>
          <w:p w14:paraId="0B23A93E" w14:textId="4FF329AD" w:rsidR="00D73E55" w:rsidRPr="006C41C6" w:rsidRDefault="00D73E55" w:rsidP="00D73E55">
            <w:pPr>
              <w:spacing w:line="360" w:lineRule="auto"/>
              <w:rPr>
                <w:rFonts w:cstheme="minorHAnsi"/>
                <w:color w:val="000000" w:themeColor="text1"/>
                <w:sz w:val="24"/>
                <w:szCs w:val="24"/>
              </w:rPr>
            </w:pPr>
          </w:p>
        </w:tc>
      </w:tr>
      <w:tr w:rsidR="00D73E55" w14:paraId="5B64C263" w14:textId="77777777" w:rsidTr="00E316B4">
        <w:tc>
          <w:tcPr>
            <w:tcW w:w="4531" w:type="dxa"/>
          </w:tcPr>
          <w:p w14:paraId="7BE885AA" w14:textId="2E3CAF45" w:rsidR="00D73E55" w:rsidRPr="006C41C6" w:rsidRDefault="00D73E55" w:rsidP="00D73E55">
            <w:pPr>
              <w:spacing w:line="360" w:lineRule="auto"/>
              <w:rPr>
                <w:rFonts w:cstheme="minorHAnsi"/>
                <w:color w:val="000000" w:themeColor="text1"/>
                <w:sz w:val="24"/>
                <w:szCs w:val="24"/>
              </w:rPr>
            </w:pPr>
          </w:p>
        </w:tc>
        <w:tc>
          <w:tcPr>
            <w:tcW w:w="4531" w:type="dxa"/>
          </w:tcPr>
          <w:p w14:paraId="225CC0FF" w14:textId="1D21A17B" w:rsidR="00D73E55" w:rsidRPr="006C41C6" w:rsidRDefault="00D73E55" w:rsidP="00D73E55">
            <w:pPr>
              <w:spacing w:line="360" w:lineRule="auto"/>
              <w:rPr>
                <w:rFonts w:cstheme="minorHAnsi"/>
                <w:color w:val="000000" w:themeColor="text1"/>
                <w:sz w:val="24"/>
                <w:szCs w:val="24"/>
              </w:rPr>
            </w:pPr>
          </w:p>
        </w:tc>
      </w:tr>
      <w:tr w:rsidR="00D73E55" w14:paraId="66D7C169" w14:textId="77777777" w:rsidTr="00E316B4">
        <w:tc>
          <w:tcPr>
            <w:tcW w:w="4531" w:type="dxa"/>
          </w:tcPr>
          <w:p w14:paraId="6B5B6D83" w14:textId="0EA8B790" w:rsidR="00D73E55" w:rsidRPr="006C41C6" w:rsidRDefault="00D73E55" w:rsidP="00D73E55">
            <w:pPr>
              <w:spacing w:line="360" w:lineRule="auto"/>
              <w:rPr>
                <w:rFonts w:cstheme="minorHAnsi"/>
                <w:color w:val="000000" w:themeColor="text1"/>
                <w:sz w:val="24"/>
                <w:szCs w:val="24"/>
              </w:rPr>
            </w:pPr>
          </w:p>
        </w:tc>
        <w:tc>
          <w:tcPr>
            <w:tcW w:w="4531" w:type="dxa"/>
          </w:tcPr>
          <w:p w14:paraId="2D851DDF" w14:textId="691CBDC2" w:rsidR="00D73E55" w:rsidRPr="006C41C6" w:rsidRDefault="00D73E55" w:rsidP="00D73E55">
            <w:pPr>
              <w:spacing w:line="360" w:lineRule="auto"/>
              <w:rPr>
                <w:rFonts w:cstheme="minorHAnsi"/>
                <w:color w:val="000000" w:themeColor="text1"/>
                <w:sz w:val="24"/>
                <w:szCs w:val="24"/>
              </w:rPr>
            </w:pPr>
          </w:p>
        </w:tc>
      </w:tr>
      <w:tr w:rsidR="00D73E55" w14:paraId="2CE1478B" w14:textId="77777777" w:rsidTr="00E316B4">
        <w:tc>
          <w:tcPr>
            <w:tcW w:w="4531" w:type="dxa"/>
          </w:tcPr>
          <w:p w14:paraId="189465E5" w14:textId="26909E82" w:rsidR="00D73E55" w:rsidRPr="006C41C6" w:rsidRDefault="00D73E55" w:rsidP="00D73E55">
            <w:pPr>
              <w:spacing w:line="360" w:lineRule="auto"/>
              <w:rPr>
                <w:rFonts w:cstheme="minorHAnsi"/>
                <w:color w:val="000000" w:themeColor="text1"/>
                <w:sz w:val="24"/>
                <w:szCs w:val="24"/>
              </w:rPr>
            </w:pPr>
          </w:p>
        </w:tc>
        <w:tc>
          <w:tcPr>
            <w:tcW w:w="4531" w:type="dxa"/>
          </w:tcPr>
          <w:p w14:paraId="1015BC30" w14:textId="7996BAFE" w:rsidR="00D73E55" w:rsidRPr="006C41C6" w:rsidRDefault="00D73E55" w:rsidP="00D73E55">
            <w:pPr>
              <w:spacing w:line="360" w:lineRule="auto"/>
              <w:rPr>
                <w:rFonts w:cstheme="minorHAnsi"/>
                <w:color w:val="000000" w:themeColor="text1"/>
                <w:sz w:val="24"/>
                <w:szCs w:val="24"/>
              </w:rPr>
            </w:pPr>
          </w:p>
        </w:tc>
      </w:tr>
      <w:tr w:rsidR="00D73E55" w14:paraId="32DDA7F8" w14:textId="77777777" w:rsidTr="00E316B4">
        <w:tc>
          <w:tcPr>
            <w:tcW w:w="4531" w:type="dxa"/>
          </w:tcPr>
          <w:p w14:paraId="5738996C" w14:textId="2BD00433" w:rsidR="00D73E55" w:rsidRPr="006C41C6" w:rsidRDefault="00D73E55" w:rsidP="00D73E55">
            <w:pPr>
              <w:spacing w:line="360" w:lineRule="auto"/>
              <w:rPr>
                <w:rFonts w:cstheme="minorHAnsi"/>
                <w:color w:val="000000" w:themeColor="text1"/>
                <w:sz w:val="24"/>
                <w:szCs w:val="24"/>
              </w:rPr>
            </w:pPr>
          </w:p>
        </w:tc>
        <w:tc>
          <w:tcPr>
            <w:tcW w:w="4531" w:type="dxa"/>
          </w:tcPr>
          <w:p w14:paraId="3162B59A" w14:textId="151D9B00" w:rsidR="00D73E55" w:rsidRPr="006C41C6" w:rsidRDefault="00D73E55" w:rsidP="00D73E55">
            <w:pPr>
              <w:spacing w:line="360" w:lineRule="auto"/>
              <w:rPr>
                <w:rFonts w:cstheme="minorHAnsi"/>
                <w:color w:val="000000" w:themeColor="text1"/>
                <w:sz w:val="24"/>
                <w:szCs w:val="24"/>
              </w:rPr>
            </w:pPr>
          </w:p>
        </w:tc>
      </w:tr>
      <w:tr w:rsidR="00D73E55" w14:paraId="70614AE7" w14:textId="77777777" w:rsidTr="00E316B4">
        <w:tc>
          <w:tcPr>
            <w:tcW w:w="4531" w:type="dxa"/>
          </w:tcPr>
          <w:p w14:paraId="56BE092B" w14:textId="71541425" w:rsidR="00D73E55" w:rsidRPr="006C41C6" w:rsidRDefault="00D73E55" w:rsidP="00D73E55">
            <w:pPr>
              <w:spacing w:line="360" w:lineRule="auto"/>
              <w:rPr>
                <w:rFonts w:cstheme="minorHAnsi"/>
                <w:color w:val="000000" w:themeColor="text1"/>
                <w:sz w:val="24"/>
                <w:szCs w:val="24"/>
              </w:rPr>
            </w:pPr>
          </w:p>
        </w:tc>
        <w:tc>
          <w:tcPr>
            <w:tcW w:w="4531" w:type="dxa"/>
          </w:tcPr>
          <w:p w14:paraId="5372A643" w14:textId="663DF104" w:rsidR="00D73E55" w:rsidRPr="006C41C6" w:rsidRDefault="00D73E55" w:rsidP="00D73E55">
            <w:pPr>
              <w:spacing w:line="360" w:lineRule="auto"/>
              <w:rPr>
                <w:rFonts w:cstheme="minorHAnsi"/>
                <w:color w:val="000000" w:themeColor="text1"/>
                <w:sz w:val="24"/>
                <w:szCs w:val="24"/>
              </w:rPr>
            </w:pPr>
          </w:p>
        </w:tc>
      </w:tr>
      <w:tr w:rsidR="00D73E55" w14:paraId="3B908969" w14:textId="77777777" w:rsidTr="00E316B4">
        <w:tc>
          <w:tcPr>
            <w:tcW w:w="4531" w:type="dxa"/>
          </w:tcPr>
          <w:p w14:paraId="5F8375B4" w14:textId="2AD8C3DD" w:rsidR="00D73E55" w:rsidRPr="006C41C6" w:rsidRDefault="00D73E55" w:rsidP="00D73E55">
            <w:pPr>
              <w:spacing w:line="360" w:lineRule="auto"/>
              <w:rPr>
                <w:rFonts w:cstheme="minorHAnsi"/>
                <w:color w:val="000000" w:themeColor="text1"/>
                <w:sz w:val="24"/>
                <w:szCs w:val="24"/>
              </w:rPr>
            </w:pPr>
          </w:p>
        </w:tc>
        <w:tc>
          <w:tcPr>
            <w:tcW w:w="4531" w:type="dxa"/>
          </w:tcPr>
          <w:p w14:paraId="514768E9" w14:textId="4195CCA6" w:rsidR="00D73E55" w:rsidRPr="006C41C6" w:rsidRDefault="00D73E55" w:rsidP="00D73E55">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529530"/>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CD1E16">
      <w:pPr>
        <w:pStyle w:val="Abbildungsverzeichnis"/>
        <w:tabs>
          <w:tab w:val="right" w:leader="dot" w:pos="9062"/>
        </w:tabs>
        <w:rPr>
          <w:noProof/>
          <w:kern w:val="2"/>
          <w:lang w:eastAsia="ja-JP"/>
          <w14:ligatures w14:val="standardContextual"/>
        </w:rPr>
      </w:pPr>
      <w:hyperlink w:anchor="_Toc155897644" w:history="1">
        <w:r w:rsidRPr="00F3637A">
          <w:rPr>
            <w:rStyle w:val="Hyperlink"/>
            <w:noProof/>
          </w:rPr>
          <w:t>Abbildung 2: Links: 1:1-Beziehung, Mitte: 1:n-Beziehung, Rechts: n:m-Beziehung, eigene Darstellung</w:t>
        </w:r>
        <w:r>
          <w:rPr>
            <w:noProof/>
            <w:webHidden/>
          </w:rPr>
          <w:tab/>
        </w:r>
        <w:r>
          <w:rPr>
            <w:noProof/>
            <w:webHidden/>
          </w:rPr>
          <w:fldChar w:fldCharType="begin"/>
        </w:r>
        <w:r>
          <w:rPr>
            <w:noProof/>
            <w:webHidden/>
          </w:rPr>
          <w:instrText xml:space="preserve"> PAGEREF _Toc155897644 \h </w:instrText>
        </w:r>
        <w:r>
          <w:rPr>
            <w:noProof/>
            <w:webHidden/>
          </w:rPr>
        </w:r>
        <w:r>
          <w:rPr>
            <w:noProof/>
            <w:webHidden/>
          </w:rPr>
          <w:fldChar w:fldCharType="separate"/>
        </w:r>
        <w:r>
          <w:rPr>
            <w:noProof/>
            <w:webHidden/>
          </w:rPr>
          <w:t>14</w:t>
        </w:r>
        <w:r>
          <w:rPr>
            <w:noProof/>
            <w:webHidden/>
          </w:rPr>
          <w:fldChar w:fldCharType="end"/>
        </w:r>
      </w:hyperlink>
    </w:p>
    <w:p w14:paraId="37E1B222" w14:textId="0AE2ECAE" w:rsidR="00CD1E16" w:rsidRDefault="00CD1E16">
      <w:pPr>
        <w:pStyle w:val="Abbildungsverzeichnis"/>
        <w:tabs>
          <w:tab w:val="right" w:leader="dot" w:pos="9062"/>
        </w:tabs>
        <w:rPr>
          <w:noProof/>
          <w:kern w:val="2"/>
          <w:lang w:eastAsia="ja-JP"/>
          <w14:ligatures w14:val="standardContextual"/>
        </w:rPr>
      </w:pPr>
      <w:hyperlink w:anchor="_Toc155897645" w:history="1">
        <w:r w:rsidRPr="00F3637A">
          <w:rPr>
            <w:rStyle w:val="Hyperlink"/>
            <w:noProof/>
          </w:rPr>
          <w:t>Abbildung 3: jeder Mandant hat eine eigene Datenbank; entnommen aus Somasundar, Harish (2021)</w:t>
        </w:r>
        <w:r>
          <w:rPr>
            <w:noProof/>
            <w:webHidden/>
          </w:rPr>
          <w:tab/>
        </w:r>
        <w:r>
          <w:rPr>
            <w:noProof/>
            <w:webHidden/>
          </w:rPr>
          <w:fldChar w:fldCharType="begin"/>
        </w:r>
        <w:r>
          <w:rPr>
            <w:noProof/>
            <w:webHidden/>
          </w:rPr>
          <w:instrText xml:space="preserve"> PAGEREF _Toc155897645 \h </w:instrText>
        </w:r>
        <w:r>
          <w:rPr>
            <w:noProof/>
            <w:webHidden/>
          </w:rPr>
        </w:r>
        <w:r>
          <w:rPr>
            <w:noProof/>
            <w:webHidden/>
          </w:rPr>
          <w:fldChar w:fldCharType="separate"/>
        </w:r>
        <w:r>
          <w:rPr>
            <w:noProof/>
            <w:webHidden/>
          </w:rPr>
          <w:t>15</w:t>
        </w:r>
        <w:r>
          <w:rPr>
            <w:noProof/>
            <w:webHidden/>
          </w:rPr>
          <w:fldChar w:fldCharType="end"/>
        </w:r>
      </w:hyperlink>
    </w:p>
    <w:p w14:paraId="687B95E5" w14:textId="48FA5A3F" w:rsidR="00CD1E16" w:rsidRDefault="00CD1E16">
      <w:pPr>
        <w:pStyle w:val="Abbildungsverzeichnis"/>
        <w:tabs>
          <w:tab w:val="right" w:leader="dot" w:pos="9062"/>
        </w:tabs>
        <w:rPr>
          <w:noProof/>
          <w:kern w:val="2"/>
          <w:lang w:eastAsia="ja-JP"/>
          <w14:ligatures w14:val="standardContextual"/>
        </w:rPr>
      </w:pPr>
      <w:hyperlink w:anchor="_Toc155897646" w:history="1">
        <w:r w:rsidRPr="00F3637A">
          <w:rPr>
            <w:rStyle w:val="Hyperlink"/>
            <w:noProof/>
          </w:rPr>
          <w:t>Abbildung 4: Alle Mandanten nutzen eine Datenbank mit separatem Schema, entnommen aus Somasundar, Harish (2021)</w:t>
        </w:r>
        <w:r>
          <w:rPr>
            <w:noProof/>
            <w:webHidden/>
          </w:rPr>
          <w:tab/>
        </w:r>
        <w:r>
          <w:rPr>
            <w:noProof/>
            <w:webHidden/>
          </w:rPr>
          <w:fldChar w:fldCharType="begin"/>
        </w:r>
        <w:r>
          <w:rPr>
            <w:noProof/>
            <w:webHidden/>
          </w:rPr>
          <w:instrText xml:space="preserve"> PAGEREF _Toc155897646 \h </w:instrText>
        </w:r>
        <w:r>
          <w:rPr>
            <w:noProof/>
            <w:webHidden/>
          </w:rPr>
        </w:r>
        <w:r>
          <w:rPr>
            <w:noProof/>
            <w:webHidden/>
          </w:rPr>
          <w:fldChar w:fldCharType="separate"/>
        </w:r>
        <w:r>
          <w:rPr>
            <w:noProof/>
            <w:webHidden/>
          </w:rPr>
          <w:t>16</w:t>
        </w:r>
        <w:r>
          <w:rPr>
            <w:noProof/>
            <w:webHidden/>
          </w:rPr>
          <w:fldChar w:fldCharType="end"/>
        </w:r>
      </w:hyperlink>
    </w:p>
    <w:p w14:paraId="68326055" w14:textId="00263DCE" w:rsidR="00CD1E16" w:rsidRDefault="00CD1E16">
      <w:pPr>
        <w:pStyle w:val="Abbildungsverzeichnis"/>
        <w:tabs>
          <w:tab w:val="right" w:leader="dot" w:pos="9062"/>
        </w:tabs>
        <w:rPr>
          <w:noProof/>
          <w:kern w:val="2"/>
          <w:lang w:eastAsia="ja-JP"/>
          <w14:ligatures w14:val="standardContextual"/>
        </w:rPr>
      </w:pPr>
      <w:hyperlink w:anchor="_Toc155897647" w:history="1">
        <w:r w:rsidRPr="00F3637A">
          <w:rPr>
            <w:rStyle w:val="Hyperlink"/>
            <w:noProof/>
          </w:rPr>
          <w:t>Abbildung 5: Identifier in Spalte "TenantId" bei einer Datenbank mit geteiltem Schema, entnommen aus Somasundar, Harish (2021)</w:t>
        </w:r>
        <w:r>
          <w:rPr>
            <w:noProof/>
            <w:webHidden/>
          </w:rPr>
          <w:tab/>
        </w:r>
        <w:r>
          <w:rPr>
            <w:noProof/>
            <w:webHidden/>
          </w:rPr>
          <w:fldChar w:fldCharType="begin"/>
        </w:r>
        <w:r>
          <w:rPr>
            <w:noProof/>
            <w:webHidden/>
          </w:rPr>
          <w:instrText xml:space="preserve"> PAGEREF _Toc155897647 \h </w:instrText>
        </w:r>
        <w:r>
          <w:rPr>
            <w:noProof/>
            <w:webHidden/>
          </w:rPr>
        </w:r>
        <w:r>
          <w:rPr>
            <w:noProof/>
            <w:webHidden/>
          </w:rPr>
          <w:fldChar w:fldCharType="separate"/>
        </w:r>
        <w:r>
          <w:rPr>
            <w:noProof/>
            <w:webHidden/>
          </w:rPr>
          <w:t>16</w:t>
        </w:r>
        <w:r>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E16F3A">
          <w:footerReference w:type="default" r:id="rId10"/>
          <w:pgSz w:w="11906" w:h="16838"/>
          <w:pgMar w:top="1417" w:right="1417" w:bottom="1134" w:left="1417" w:header="708" w:footer="708" w:gutter="0"/>
          <w:pgNumType w:fmt="upperRoman" w:start="1"/>
          <w:cols w:space="708"/>
          <w:docGrid w:linePitch="360"/>
        </w:sectPr>
      </w:pPr>
      <w:bookmarkStart w:id="2" w:name="_Toc155529531"/>
      <w:r>
        <w:lastRenderedPageBreak/>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529532"/>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dient der Erlangung des akademischen Grades Bachelor of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529533"/>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as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Presseinformation der b</w:t>
      </w:r>
      <w:r w:rsidR="00181C87">
        <w:rPr>
          <w:sz w:val="24"/>
          <w:szCs w:val="24"/>
        </w:rPr>
        <w:t>itkom</w:t>
      </w:r>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529534"/>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529535"/>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Testing</w:t>
      </w:r>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529536"/>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Für diese Arbeit wird ausschließlich das generische Maskulinum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529537"/>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529538"/>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r w:rsidR="001D2DC6">
        <w:rPr>
          <w:sz w:val="24"/>
          <w:szCs w:val="24"/>
        </w:rPr>
        <w:t>Zusätzlich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529539"/>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529540"/>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529541"/>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529542"/>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529543"/>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529544"/>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529545"/>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BEB45DD" w:rsidR="0044684C" w:rsidRDefault="00F41DA2" w:rsidP="00F41DA2">
      <w:pPr>
        <w:spacing w:line="360" w:lineRule="auto"/>
        <w:jc w:val="both"/>
        <w:rPr>
          <w:sz w:val="24"/>
          <w:szCs w:val="24"/>
        </w:rPr>
      </w:pPr>
      <w:r>
        <w:rPr>
          <w:sz w:val="24"/>
          <w:szCs w:val="24"/>
        </w:rPr>
        <w:t xml:space="preserve">Werkstudenten sind nicht über den Arbeitgeber kranken-, pflege- und arbeitslosenversichert. Für die Kranken- und Pflegeversicherung sind Werkstudenten eigenverantwortlich, beispielsweise indem sie über ihre Familie versichert sind oder eine studentische Kranken- </w:t>
      </w:r>
      <w:r>
        <w:rPr>
          <w:sz w:val="24"/>
          <w:szCs w:val="24"/>
        </w:rPr>
        <w:lastRenderedPageBreak/>
        <w:t>und 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529546"/>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529547"/>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Default="004C1260" w:rsidP="008448BA">
      <w:pPr>
        <w:spacing w:line="360" w:lineRule="auto"/>
        <w:rPr>
          <w:sz w:val="24"/>
          <w:szCs w:val="24"/>
        </w:rPr>
      </w:pPr>
    </w:p>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529548"/>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529549"/>
      <w:r>
        <w:t>Relationale Datenbanken und SQL</w:t>
      </w:r>
      <w:bookmarkEnd w:id="38"/>
    </w:p>
    <w:p w14:paraId="3688EB1B" w14:textId="39AE3CE8" w:rsidR="00E14BC5" w:rsidRDefault="00F54DB7" w:rsidP="00F54DB7">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E14BC5">
        <w:rPr>
          <w:sz w:val="24"/>
          <w:szCs w:val="24"/>
        </w:rPr>
        <w:t xml:space="preserve">Neben den Tabellen bestehen relationale Datenbanken aus folgenden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69"/>
      </w:r>
    </w:p>
    <w:p w14:paraId="3184216B" w14:textId="77777777" w:rsidR="00FF59CE" w:rsidRDefault="00FF59CE" w:rsidP="00FF59CE">
      <w:pPr>
        <w:keepNext/>
        <w:spacing w:line="360" w:lineRule="auto"/>
        <w:jc w:val="center"/>
      </w:pPr>
      <w:r>
        <w:rPr>
          <w:noProof/>
        </w:rPr>
        <w:drawing>
          <wp:inline distT="0" distB="0" distL="0" distR="0" wp14:anchorId="7F1EB736" wp14:editId="21E6EB64">
            <wp:extent cx="3950208" cy="1564059"/>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3960074" cy="1567965"/>
                    </a:xfrm>
                    <a:prstGeom prst="rect">
                      <a:avLst/>
                    </a:prstGeom>
                  </pic:spPr>
                </pic:pic>
              </a:graphicData>
            </a:graphic>
          </wp:inline>
        </w:drawing>
      </w:r>
    </w:p>
    <w:p w14:paraId="5F26F37D" w14:textId="35E8D308" w:rsidR="00E14BC5" w:rsidRPr="00E14BC5" w:rsidRDefault="00FF59CE" w:rsidP="00FF59CE">
      <w:pPr>
        <w:pStyle w:val="Beschriftung"/>
        <w:jc w:val="center"/>
        <w:rPr>
          <w:sz w:val="24"/>
          <w:szCs w:val="24"/>
        </w:rP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1:n-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0"/>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1:n-Beziehung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1"/>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1:n-Beziehungen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2"/>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Links: 1:1-Beziehung, Mitte: 1:n-Beziehung, Rechts: n:m-Beziehung</w:t>
      </w:r>
      <w:r w:rsidR="00B81BD5">
        <w:t>;</w:t>
      </w:r>
      <w:r>
        <w:t xml:space="preserve"> eigene Darstellung</w:t>
      </w:r>
      <w:bookmarkEnd w:id="40"/>
    </w:p>
    <w:p w14:paraId="5C6D81ED" w14:textId="27A62D1F" w:rsidR="007A18EA" w:rsidRPr="0094098C"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3"/>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4"/>
      </w:r>
    </w:p>
    <w:p w14:paraId="563CAABD" w14:textId="742D18BB" w:rsidR="008448BA" w:rsidRDefault="00133631" w:rsidP="00E153F1">
      <w:pPr>
        <w:pStyle w:val="berschrift2"/>
        <w:numPr>
          <w:ilvl w:val="1"/>
          <w:numId w:val="15"/>
        </w:numPr>
        <w:spacing w:line="360" w:lineRule="auto"/>
      </w:pPr>
      <w:bookmarkStart w:id="41" w:name="_Toc155529550"/>
      <w:r>
        <w:lastRenderedPageBreak/>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Multi-tenancy beschreibt, dass mehrere voneinander unabhängige Instanzen, beispielsweise Kunden, gemeinsam eine Applikation, beispielsweise eine Datenbank, nutzen. Diese Instanzen werden in dem Zusammenhang als Mandanten oder tenants bezeichnet.</w:t>
      </w:r>
      <w:r>
        <w:rPr>
          <w:rStyle w:val="Funotenzeichen"/>
          <w:sz w:val="24"/>
          <w:szCs w:val="24"/>
        </w:rPr>
        <w:footnoteReference w:id="75"/>
      </w:r>
      <w:r>
        <w:rPr>
          <w:sz w:val="24"/>
          <w:szCs w:val="24"/>
        </w:rPr>
        <w:t xml:space="preserve"> Dabei muss sichergestellt sein, dass die Daten eines Mandanten nicht für andere Mandanten sichtbar sind. </w:t>
      </w:r>
      <w:r w:rsidR="00BA25D6">
        <w:rPr>
          <w:rStyle w:val="Funotenzeichen"/>
          <w:sz w:val="24"/>
          <w:szCs w:val="24"/>
        </w:rPr>
        <w:footnoteReference w:id="76"/>
      </w:r>
    </w:p>
    <w:p w14:paraId="06BD1CA9" w14:textId="32307B2E" w:rsidR="00BA25D6" w:rsidRDefault="00BA25D6" w:rsidP="00655125">
      <w:pPr>
        <w:spacing w:line="360" w:lineRule="auto"/>
        <w:jc w:val="both"/>
        <w:rPr>
          <w:sz w:val="24"/>
          <w:szCs w:val="24"/>
        </w:rPr>
      </w:pPr>
      <w:r>
        <w:rPr>
          <w:sz w:val="24"/>
          <w:szCs w:val="24"/>
        </w:rPr>
        <w:t>Es werden in der Regel zwischen drei verschiedenen Modellen zur Implementierung von Mandantenfähigkeit unterschieden: eine Datenbank pro Mandant, eine geteilte Datenbank mit einem Schema pro Mandanten und eine geteilte Datenbank mit einem geteilten Schema für alle Mandanten.</w:t>
      </w:r>
      <w:r w:rsidR="00A0639F">
        <w:rPr>
          <w:rStyle w:val="Funotenzeichen"/>
          <w:sz w:val="24"/>
          <w:szCs w:val="24"/>
        </w:rPr>
        <w:footnoteReference w:id="77"/>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78"/>
      </w:r>
    </w:p>
    <w:p w14:paraId="4B607A0C" w14:textId="5DA0E4DA" w:rsidR="00A0639F" w:rsidRDefault="00A0639F" w:rsidP="00CD1E16">
      <w:pPr>
        <w:spacing w:line="360" w:lineRule="auto"/>
        <w:jc w:val="both"/>
        <w:rPr>
          <w:sz w:val="24"/>
          <w:szCs w:val="24"/>
        </w:rPr>
      </w:pPr>
      <w:r>
        <w:rPr>
          <w:sz w:val="24"/>
          <w:szCs w:val="24"/>
        </w:rPr>
        <w:t xml:space="preserve">Bei einer Datenbank pro Mandant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79"/>
      </w:r>
      <w:r>
        <w:rPr>
          <w:sz w:val="24"/>
          <w:szCs w:val="24"/>
        </w:rPr>
        <w:t xml:space="preserve"> Wird ein neuer Mandant erstellt, muss für ihn auch eine neue Datenbank erstellt werden.</w:t>
      </w:r>
      <w:r>
        <w:rPr>
          <w:rStyle w:val="Funotenzeichen"/>
          <w:sz w:val="24"/>
          <w:szCs w:val="24"/>
        </w:rPr>
        <w:footnoteReference w:id="80"/>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r w:rsidRPr="00A0639F">
        <w:t>Somasundar,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1"/>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lastRenderedPageBreak/>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r w:rsidRPr="00A0639F">
        <w:t>Somasundar,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2"/>
      </w:r>
      <w:r>
        <w:t xml:space="preserve"> Der Identifier wird in einer eigens hierfür hinzugefügten Spalte in jeder Tabelle der Datenbank eingetragen.</w:t>
      </w:r>
      <w:r>
        <w:rPr>
          <w:rStyle w:val="Funotenzeichen"/>
        </w:rPr>
        <w:footnoteReference w:id="83"/>
      </w:r>
      <w:r>
        <w:t xml:space="preserve"> Dies wird in folgender Abbildung verdeutlicht:</w:t>
      </w:r>
    </w:p>
    <w:p w14:paraId="406ADA19" w14:textId="77777777" w:rsidR="00CD1E16" w:rsidRDefault="00CD1E16" w:rsidP="00CD1E16">
      <w:pPr>
        <w:keepNext/>
        <w:spacing w:line="360" w:lineRule="auto"/>
        <w:jc w:val="center"/>
      </w:pPr>
      <w:r>
        <w:rPr>
          <w:noProof/>
        </w:rPr>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"TenantId" bei einer Datenbank mit geteiltem Schema</w:t>
      </w:r>
      <w:r w:rsidR="00B81BD5">
        <w:t>;</w:t>
      </w:r>
      <w:r>
        <w:rPr>
          <w:noProof/>
        </w:rPr>
        <w:t xml:space="preserve"> entnommen aus </w:t>
      </w:r>
      <w:r w:rsidRPr="00A0639F">
        <w:t>Somasundar, Harish (2021)</w:t>
      </w:r>
      <w:bookmarkEnd w:id="45"/>
    </w:p>
    <w:p w14:paraId="46BFB74F" w14:textId="263BF561" w:rsidR="00CD1E16" w:rsidRDefault="00937DC3" w:rsidP="00937DC3">
      <w:pPr>
        <w:spacing w:line="360" w:lineRule="auto"/>
        <w:jc w:val="both"/>
      </w:pPr>
      <w:r>
        <w:t xml:space="preserve">Ein hybrides Modell kann sich beispielsweise dadurch charakterisieren, dass es mehrere Datenbanken gibt, von denen manche von mehreren Mandanten und andere Datenbanken nur von einem Mandanten </w:t>
      </w:r>
      <w:r>
        <w:t>verwendet werden</w:t>
      </w:r>
      <w:r>
        <w:t>.</w:t>
      </w:r>
      <w:r>
        <w:rPr>
          <w:rStyle w:val="Funotenzeichen"/>
        </w:rPr>
        <w:footnoteReference w:id="84"/>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821B25C" w14:textId="48A831B7" w:rsidR="00CD1E16" w:rsidRPr="00CD1E16" w:rsidRDefault="00937DC3" w:rsidP="00937DC3">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r w:rsidRPr="00A0639F">
        <w:t>Somasundar, Harish (2021)</w:t>
      </w:r>
    </w:p>
    <w:p w14:paraId="7DC6897A" w14:textId="4A9CA49B" w:rsidR="008448BA" w:rsidRDefault="00133631" w:rsidP="00E153F1">
      <w:pPr>
        <w:pStyle w:val="berschrift2"/>
        <w:numPr>
          <w:ilvl w:val="1"/>
          <w:numId w:val="15"/>
        </w:numPr>
        <w:spacing w:line="360" w:lineRule="auto"/>
      </w:pPr>
      <w:bookmarkStart w:id="46" w:name="_Toc155529551"/>
      <w:r>
        <w:lastRenderedPageBreak/>
        <w:t>Testing</w:t>
      </w:r>
      <w:bookmarkEnd w:id="46"/>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E153F1">
      <w:pPr>
        <w:pStyle w:val="berschrift2"/>
        <w:numPr>
          <w:ilvl w:val="1"/>
          <w:numId w:val="15"/>
        </w:numPr>
        <w:spacing w:line="360" w:lineRule="auto"/>
      </w:pPr>
      <w:bookmarkStart w:id="47" w:name="_Toc155529552"/>
      <w:r>
        <w:t>Verwendete Technologien</w:t>
      </w:r>
      <w:bookmarkEnd w:id="47"/>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8" w:name="_Toc147668269"/>
      <w:bookmarkStart w:id="49" w:name="_Toc147669421"/>
      <w:bookmarkStart w:id="50" w:name="_Toc155529553"/>
      <w:r>
        <w:t>Anforderungen</w:t>
      </w:r>
      <w:bookmarkEnd w:id="48"/>
      <w:bookmarkEnd w:id="49"/>
      <w:bookmarkEnd w:id="50"/>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51" w:name="_Toc147668270"/>
      <w:bookmarkStart w:id="52" w:name="_Toc147669422"/>
      <w:bookmarkStart w:id="53" w:name="_Toc155529554"/>
      <w:r>
        <w:t>Funktionale Anforderungen</w:t>
      </w:r>
      <w:bookmarkEnd w:id="51"/>
      <w:bookmarkEnd w:id="52"/>
      <w:bookmarkEnd w:id="53"/>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54" w:name="_Toc147668271"/>
      <w:bookmarkStart w:id="55" w:name="_Toc147669423"/>
      <w:bookmarkStart w:id="56" w:name="_Toc155529555"/>
      <w:r>
        <w:t>Nichtfunktionale Anforderungen</w:t>
      </w:r>
      <w:bookmarkEnd w:id="54"/>
      <w:bookmarkEnd w:id="55"/>
      <w:bookmarkEnd w:id="56"/>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57" w:name="_Toc155529556"/>
      <w:r>
        <w:t>Ausgewählte Aspekte der Implementierung</w:t>
      </w:r>
      <w:bookmarkEnd w:id="57"/>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58" w:name="_Toc155529557"/>
      <w:r>
        <w:t>Struktur des Datenimports</w:t>
      </w:r>
      <w:bookmarkEnd w:id="58"/>
    </w:p>
    <w:p w14:paraId="13C46957" w14:textId="77777777" w:rsidR="00133631" w:rsidRDefault="00133631" w:rsidP="00133631"/>
    <w:p w14:paraId="4B2DF318" w14:textId="77777777" w:rsidR="0025171E" w:rsidRDefault="0025171E" w:rsidP="00133631"/>
    <w:p w14:paraId="245B23FB" w14:textId="1C0BF06C" w:rsidR="00133631" w:rsidRDefault="00133631" w:rsidP="00DE6FAB">
      <w:pPr>
        <w:pStyle w:val="berschrift2"/>
        <w:numPr>
          <w:ilvl w:val="1"/>
          <w:numId w:val="15"/>
        </w:numPr>
        <w:spacing w:line="360" w:lineRule="auto"/>
      </w:pPr>
      <w:bookmarkStart w:id="59" w:name="_Toc155529558"/>
      <w:r>
        <w:t>Mandantenfähige Datenbank</w:t>
      </w:r>
      <w:bookmarkEnd w:id="59"/>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C8552B">
      <w:pPr>
        <w:pStyle w:val="berschrift2"/>
        <w:numPr>
          <w:ilvl w:val="1"/>
          <w:numId w:val="15"/>
        </w:numPr>
        <w:spacing w:line="360" w:lineRule="auto"/>
      </w:pPr>
      <w:r>
        <w:t>Datenmodellierung</w:t>
      </w:r>
    </w:p>
    <w:p w14:paraId="4DE7FEAD" w14:textId="77777777" w:rsidR="008448BA" w:rsidRDefault="008448BA" w:rsidP="008448BA">
      <w:pPr>
        <w:spacing w:line="360" w:lineRule="auto"/>
        <w:rPr>
          <w:sz w:val="24"/>
          <w:szCs w:val="24"/>
        </w:rPr>
      </w:pPr>
    </w:p>
    <w:p w14:paraId="0D97FB08" w14:textId="0C07379B" w:rsidR="0025171E" w:rsidRDefault="0025171E" w:rsidP="0025171E">
      <w:pPr>
        <w:pStyle w:val="berschrift3"/>
        <w:numPr>
          <w:ilvl w:val="2"/>
          <w:numId w:val="15"/>
        </w:numPr>
        <w:spacing w:line="360" w:lineRule="auto"/>
      </w:pPr>
      <w:r>
        <w:t>Sozialversicherungen</w:t>
      </w:r>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25171E">
      <w:pPr>
        <w:pStyle w:val="berschrift3"/>
        <w:numPr>
          <w:ilvl w:val="2"/>
          <w:numId w:val="15"/>
        </w:numPr>
        <w:spacing w:line="360" w:lineRule="auto"/>
      </w:pPr>
      <w:r>
        <w:lastRenderedPageBreak/>
        <w:t>Entgelt</w:t>
      </w:r>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25171E">
      <w:pPr>
        <w:pStyle w:val="berschrift3"/>
        <w:numPr>
          <w:ilvl w:val="2"/>
          <w:numId w:val="15"/>
        </w:numPr>
        <w:spacing w:line="360" w:lineRule="auto"/>
      </w:pPr>
      <w:r>
        <w:t>Primärschlüsselsetzung in den mitarbeiterbezogenen Assoziationstabellen</w:t>
      </w:r>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25171E">
      <w:pPr>
        <w:pStyle w:val="berschrift3"/>
        <w:numPr>
          <w:ilvl w:val="2"/>
          <w:numId w:val="15"/>
        </w:numPr>
        <w:spacing w:line="360" w:lineRule="auto"/>
      </w:pPr>
      <w:r>
        <w:t>Mandant und Nutzer</w:t>
      </w:r>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60" w:name="_Toc147668276"/>
      <w:bookmarkStart w:id="61" w:name="_Toc147669428"/>
      <w:bookmarkStart w:id="62" w:name="_Toc155529559"/>
      <w:r>
        <w:t>Tests</w:t>
      </w:r>
      <w:bookmarkEnd w:id="60"/>
      <w:bookmarkEnd w:id="61"/>
      <w:bookmarkEnd w:id="62"/>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63" w:name="_Toc147668277"/>
      <w:bookmarkStart w:id="64" w:name="_Toc147669429"/>
      <w:bookmarkStart w:id="65" w:name="_Toc155529560"/>
      <w:r>
        <w:t>Unit-Tests</w:t>
      </w:r>
      <w:bookmarkEnd w:id="63"/>
      <w:bookmarkEnd w:id="64"/>
      <w:bookmarkEnd w:id="65"/>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6" w:name="_Toc147668278"/>
      <w:bookmarkStart w:id="67" w:name="_Toc147669430"/>
      <w:bookmarkStart w:id="68" w:name="_Toc155529561"/>
      <w:r>
        <w:t>Integrationstests</w:t>
      </w:r>
      <w:bookmarkEnd w:id="66"/>
      <w:bookmarkEnd w:id="67"/>
      <w:bookmarkEnd w:id="68"/>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9" w:name="_Toc147668279"/>
      <w:bookmarkStart w:id="70" w:name="_Toc147669431"/>
      <w:bookmarkStart w:id="71" w:name="_Toc155529562"/>
      <w:r>
        <w:t>Fazit</w:t>
      </w:r>
      <w:bookmarkEnd w:id="69"/>
      <w:bookmarkEnd w:id="70"/>
      <w:bookmarkEnd w:id="71"/>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72" w:name="_Toc147668280"/>
      <w:bookmarkStart w:id="73" w:name="_Toc147669432"/>
      <w:bookmarkStart w:id="74" w:name="_Toc155529563"/>
      <w:r>
        <w:t>Quellenverzeichnis</w:t>
      </w:r>
      <w:bookmarkEnd w:id="72"/>
      <w:bookmarkEnd w:id="73"/>
      <w:bookmarkEnd w:id="74"/>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r w:rsidR="00407F94">
              <w:rPr>
                <w:color w:val="000000" w:themeColor="text1"/>
                <w:sz w:val="24"/>
                <w:szCs w:val="24"/>
              </w:rPr>
              <w:t xml:space="preserve">   </w:t>
            </w:r>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versichert?</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lastRenderedPageBreak/>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r>
        <w:rPr>
          <w:b/>
          <w:bCs/>
          <w:sz w:val="24"/>
          <w:szCs w:val="24"/>
        </w:rPr>
        <w:t>Bröckermann</w:t>
      </w:r>
      <w:r>
        <w:rPr>
          <w:sz w:val="24"/>
          <w:szCs w:val="24"/>
        </w:rPr>
        <w:t xml:space="preserve">, Reiner (2021): Personalwirtschaft – Lehr- und Überungsbuch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7"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8"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unfallversichert?</w:t>
      </w:r>
      <w:r>
        <w:rPr>
          <w:sz w:val="24"/>
          <w:szCs w:val="24"/>
        </w:rPr>
        <w:t>;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9"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0"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1"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2"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3"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4"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5"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Pr="00DE6FAB" w:rsidRDefault="00DE6FAB" w:rsidP="00444087">
      <w:pPr>
        <w:rPr>
          <w:sz w:val="28"/>
          <w:szCs w:val="28"/>
        </w:rPr>
      </w:pPr>
    </w:p>
    <w:p w14:paraId="53BE4311" w14:textId="7850498A" w:rsidR="0010275A" w:rsidRDefault="0010275A" w:rsidP="00444087">
      <w:pPr>
        <w:rPr>
          <w:sz w:val="24"/>
          <w:szCs w:val="24"/>
        </w:rPr>
      </w:pPr>
      <w:r w:rsidRPr="0010275A">
        <w:rPr>
          <w:b/>
          <w:bCs/>
          <w:sz w:val="24"/>
          <w:szCs w:val="24"/>
        </w:rPr>
        <w:t>destatis</w:t>
      </w:r>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6"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7"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8"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r w:rsidRPr="001164E8">
              <w:rPr>
                <w:color w:val="FFFFFF" w:themeColor="background1"/>
                <w:sz w:val="24"/>
                <w:szCs w:val="24"/>
              </w:rPr>
              <w:t>llllllll</w:t>
            </w:r>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39"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0"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1"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2" w:history="1">
              <w:r w:rsidR="0058115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3"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4"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5"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6"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Beitragsbemessungsgrenzen?</w:t>
      </w:r>
      <w:r w:rsidR="003425DE">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7"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sie?</w:t>
      </w:r>
      <w:r>
        <w:rPr>
          <w:sz w:val="24"/>
          <w:szCs w:val="24"/>
        </w:rPr>
        <w:t>;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8"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 xml:space="preserve">(o.J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49"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Wie sind die aktuellen Beitragssätze in der Sozialversicherung?</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0"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versichern?</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1"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U2 - Mutterschaft: Welche Beschäftigungsverbote gibt es?</w:t>
      </w:r>
      <w:r>
        <w:rPr>
          <w:sz w:val="24"/>
          <w:szCs w:val="24"/>
        </w:rPr>
        <w:t>;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2"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r w:rsidRPr="00581158">
              <w:rPr>
                <w:color w:val="FFFFFF" w:themeColor="background1"/>
                <w:sz w:val="24"/>
                <w:szCs w:val="24"/>
              </w:rPr>
              <w:t>fffff</w:t>
            </w:r>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3"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r w:rsidRPr="00581158">
              <w:rPr>
                <w:color w:val="FFFFFF" w:themeColor="background1"/>
                <w:sz w:val="24"/>
                <w:szCs w:val="24"/>
              </w:rPr>
              <w:t>fffff</w:t>
            </w:r>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4" w:history="1">
              <w:r w:rsidRPr="008E5894">
                <w:rPr>
                  <w:rStyle w:val="Hyperlink"/>
                  <w:sz w:val="24"/>
                  <w:szCs w:val="24"/>
                </w:rPr>
                <w:t>https://www.tk.de/firmenkunden/versicherung/beitraege-faq/arbeitsentgelt/hoehe-arbeitgeberzuschuss-zur-privaten-krankenversicherung-2034496?tkcm=aaus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Praktikant:innen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5"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versicherungsfrei?</w:t>
      </w:r>
      <w:r>
        <w:rPr>
          <w:sz w:val="24"/>
          <w:szCs w:val="24"/>
        </w:rPr>
        <w:t>;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6"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versicherungspflichtig?</w:t>
      </w:r>
      <w:r>
        <w:rPr>
          <w:sz w:val="24"/>
          <w:szCs w:val="24"/>
        </w:rPr>
        <w:t>;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7"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C61E6C" w:rsidRDefault="007E5073"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8"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59"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0"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BA25D6" w:rsidP="003A79A8">
            <w:pPr>
              <w:spacing w:line="360" w:lineRule="auto"/>
              <w:rPr>
                <w:color w:val="000000" w:themeColor="text1"/>
                <w:sz w:val="24"/>
                <w:szCs w:val="24"/>
              </w:rPr>
            </w:pPr>
            <w:hyperlink r:id="rId61" w:history="1">
              <w:r w:rsidRPr="001C23C5">
                <w:rPr>
                  <w:rStyle w:val="Hyperlink"/>
                  <w:sz w:val="24"/>
                  <w:szCs w:val="24"/>
                </w:rPr>
                <w:t>https://www.triology.de/blog/mandantenfaehigkeit-mit-postgresql</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11BD9594" w14:textId="77777777" w:rsidR="00BA25D6" w:rsidRDefault="00BA25D6" w:rsidP="00BF1137">
      <w:pPr>
        <w:rPr>
          <w:sz w:val="24"/>
          <w:szCs w:val="24"/>
        </w:rPr>
      </w:pPr>
    </w:p>
    <w:p w14:paraId="1B495D3B" w14:textId="77777777" w:rsidR="00BA25D6"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2"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63"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r w:rsidRPr="00655125">
        <w:rPr>
          <w:b/>
          <w:bCs/>
          <w:sz w:val="24"/>
          <w:szCs w:val="24"/>
          <w:lang w:val="en-US"/>
        </w:rPr>
        <w:t>Somasundar</w:t>
      </w:r>
      <w:r w:rsidRPr="00655125">
        <w:rPr>
          <w:sz w:val="24"/>
          <w:szCs w:val="24"/>
          <w:lang w:val="en-US"/>
        </w:rPr>
        <w:t>, Harish (2021): Database Multi tenancy</w:t>
      </w:r>
      <w:r w:rsidRPr="00655125">
        <w:rPr>
          <w:sz w:val="24"/>
          <w:szCs w:val="24"/>
          <w:lang w:val="en-US"/>
        </w:rPr>
        <w:t>;</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EA433B" w:rsidRDefault="00655125" w:rsidP="003A79A8">
            <w:pPr>
              <w:spacing w:line="360" w:lineRule="auto"/>
              <w:rPr>
                <w:color w:val="000000" w:themeColor="text1"/>
                <w:sz w:val="24"/>
                <w:szCs w:val="24"/>
              </w:rPr>
            </w:pPr>
          </w:p>
        </w:tc>
        <w:tc>
          <w:tcPr>
            <w:tcW w:w="8500" w:type="dxa"/>
          </w:tcPr>
          <w:p w14:paraId="13956D52" w14:textId="30E4C41C" w:rsidR="00655125" w:rsidRPr="00DC7BA4" w:rsidRDefault="00655125" w:rsidP="003A79A8">
            <w:pPr>
              <w:spacing w:line="360" w:lineRule="auto"/>
              <w:rPr>
                <w:color w:val="000000" w:themeColor="text1"/>
                <w:sz w:val="24"/>
                <w:szCs w:val="24"/>
              </w:rPr>
            </w:pPr>
            <w:hyperlink r:id="rId64" w:history="1">
              <w:r w:rsidRPr="001C23C5">
                <w:rPr>
                  <w:rStyle w:val="Hyperlink"/>
                  <w:sz w:val="24"/>
                  <w:szCs w:val="24"/>
                </w:rPr>
                <w:t>https://medium.com/@harish.somasundar14/database-multi-tenancy-7c8dbe848d50</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11</w:t>
            </w:r>
            <w:r>
              <w:rPr>
                <w:color w:val="000000" w:themeColor="text1"/>
                <w:sz w:val="24"/>
                <w:szCs w:val="24"/>
              </w:rPr>
              <w:t>.01.2024</w:t>
            </w:r>
            <w:r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0604807C" w14:textId="77777777" w:rsidR="008448BA" w:rsidRPr="00A43DDF" w:rsidRDefault="008448BA" w:rsidP="008448BA">
      <w:pPr>
        <w:spacing w:line="360" w:lineRule="auto"/>
        <w:rPr>
          <w:sz w:val="24"/>
          <w:szCs w:val="24"/>
        </w:rPr>
      </w:pPr>
    </w:p>
    <w:p w14:paraId="75B54083" w14:textId="77777777" w:rsidR="00D0180C" w:rsidRDefault="00D0180C" w:rsidP="008448BA">
      <w:pPr>
        <w:spacing w:line="360" w:lineRule="auto"/>
        <w:rPr>
          <w:sz w:val="24"/>
          <w:szCs w:val="24"/>
        </w:rPr>
      </w:pPr>
    </w:p>
    <w:p w14:paraId="4633D29B" w14:textId="77777777" w:rsidR="00A403BD" w:rsidRDefault="00A403BD" w:rsidP="008448BA">
      <w:pPr>
        <w:spacing w:line="360" w:lineRule="auto"/>
        <w:rPr>
          <w:sz w:val="24"/>
          <w:szCs w:val="24"/>
        </w:rPr>
      </w:pPr>
    </w:p>
    <w:p w14:paraId="5FEE3457" w14:textId="77777777" w:rsidR="00A403BD" w:rsidRDefault="00A403BD" w:rsidP="008448BA">
      <w:pPr>
        <w:spacing w:line="360" w:lineRule="auto"/>
        <w:rPr>
          <w:sz w:val="24"/>
          <w:szCs w:val="24"/>
        </w:rPr>
      </w:pPr>
    </w:p>
    <w:p w14:paraId="45B3714F" w14:textId="77777777" w:rsidR="00A403BD" w:rsidRDefault="00A403BD" w:rsidP="008448BA">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75" w:name="_Toc147668281"/>
      <w:bookmarkStart w:id="76" w:name="_Toc147669433"/>
      <w:bookmarkStart w:id="77" w:name="_Toc155529564"/>
      <w:r>
        <w:t>Anhang</w:t>
      </w:r>
      <w:bookmarkEnd w:id="75"/>
      <w:bookmarkEnd w:id="76"/>
      <w:bookmarkEnd w:id="77"/>
      <w:r w:rsidR="00E301AC">
        <w:t xml:space="preserve"> A - </w:t>
      </w:r>
      <w:r w:rsidR="00E301AC" w:rsidRPr="00E301AC">
        <w:t>Sozialversicherungspflicht der verschiedenen Beschäftigtenarten</w:t>
      </w:r>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65"/>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r>
        <w:t>Anhang B – Datenmodell</w:t>
      </w:r>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r>
        <w:t>Eigenständigkeitserklärung</w:t>
      </w:r>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66"/>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E16F3A">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B7E4" w14:textId="77777777" w:rsidR="00E16F3A" w:rsidRDefault="00E16F3A" w:rsidP="000805E2">
      <w:pPr>
        <w:spacing w:after="0" w:line="240" w:lineRule="auto"/>
      </w:pPr>
      <w:r>
        <w:separator/>
      </w:r>
    </w:p>
  </w:endnote>
  <w:endnote w:type="continuationSeparator" w:id="0">
    <w:p w14:paraId="0BF80DF5" w14:textId="77777777" w:rsidR="00E16F3A" w:rsidRDefault="00E16F3A"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2791F" w14:textId="77777777" w:rsidR="00E16F3A" w:rsidRDefault="00E16F3A" w:rsidP="000805E2">
      <w:pPr>
        <w:spacing w:after="0" w:line="240" w:lineRule="auto"/>
      </w:pPr>
      <w:r>
        <w:separator/>
      </w:r>
    </w:p>
  </w:footnote>
  <w:footnote w:type="continuationSeparator" w:id="0">
    <w:p w14:paraId="09F56D57" w14:textId="77777777" w:rsidR="00E16F3A" w:rsidRDefault="00E16F3A"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Bröckermann,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bitkom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Sind Praktikant:innen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Bröckermann,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Bröckermann, Reiner (2021): Seite </w:t>
      </w:r>
      <w:r>
        <w:t>193</w:t>
      </w:r>
    </w:p>
  </w:footnote>
  <w:footnote w:id="61">
    <w:p w14:paraId="5E63B562" w14:textId="60CFB62A" w:rsidR="0010275A" w:rsidRDefault="0010275A">
      <w:pPr>
        <w:pStyle w:val="Funotentext"/>
      </w:pPr>
      <w:r>
        <w:rPr>
          <w:rStyle w:val="Funotenzeichen"/>
        </w:rPr>
        <w:footnoteRef/>
      </w:r>
      <w:r>
        <w:t xml:space="preserve"> Vgl. destatis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Bröckermann,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0">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1">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2">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3">
    <w:p w14:paraId="38261F0E" w14:textId="5BC62B9A" w:rsidR="0094098C" w:rsidRDefault="0094098C">
      <w:pPr>
        <w:pStyle w:val="Funotentext"/>
      </w:pPr>
      <w:r>
        <w:rPr>
          <w:rStyle w:val="Funotenzeichen"/>
        </w:rPr>
        <w:footnoteRef/>
      </w:r>
      <w:r>
        <w:t xml:space="preserve"> Vgl. Steiner, René (2021): Seite 143</w:t>
      </w:r>
    </w:p>
  </w:footnote>
  <w:footnote w:id="74">
    <w:p w14:paraId="104059A9" w14:textId="27EFBE7A" w:rsidR="00135FA3" w:rsidRDefault="00135FA3">
      <w:pPr>
        <w:pStyle w:val="Funotentext"/>
      </w:pPr>
      <w:r>
        <w:rPr>
          <w:rStyle w:val="Funotenzeichen"/>
        </w:rPr>
        <w:footnoteRef/>
      </w:r>
      <w:r>
        <w:t xml:space="preserve"> Vgl. Steiner, René (2021): Seite 6f.</w:t>
      </w:r>
    </w:p>
  </w:footnote>
  <w:footnote w:id="75">
    <w:p w14:paraId="3703A81B" w14:textId="07AAF9B8" w:rsidR="00655125" w:rsidRPr="00655125" w:rsidRDefault="00655125">
      <w:pPr>
        <w:pStyle w:val="Funotentext"/>
        <w:rPr>
          <w:lang w:val="en-US"/>
        </w:rPr>
      </w:pPr>
      <w:r>
        <w:rPr>
          <w:rStyle w:val="Funotenzeichen"/>
        </w:rPr>
        <w:footnoteRef/>
      </w:r>
      <w:r w:rsidRPr="00655125">
        <w:rPr>
          <w:lang w:val="en-US"/>
        </w:rPr>
        <w:t xml:space="preserve"> Vgl. Somasundar, Harish (2021): Database Multi t</w:t>
      </w:r>
      <w:r>
        <w:rPr>
          <w:lang w:val="en-US"/>
        </w:rPr>
        <w:t>enancy</w:t>
      </w:r>
    </w:p>
  </w:footnote>
  <w:footnote w:id="76">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77">
    <w:p w14:paraId="0F612F4B" w14:textId="49287A76" w:rsidR="00A0639F" w:rsidRDefault="00A0639F">
      <w:pPr>
        <w:pStyle w:val="Funotentext"/>
      </w:pPr>
      <w:r>
        <w:rPr>
          <w:rStyle w:val="Funotenzeichen"/>
        </w:rPr>
        <w:footnoteRef/>
      </w:r>
      <w:r>
        <w:t xml:space="preserve"> </w:t>
      </w:r>
      <w:r>
        <w:t xml:space="preserve">Vgl. Lippert, Jan (2019): </w:t>
      </w:r>
      <w:r w:rsidRPr="00BA25D6">
        <w:t>Mandantenfähigkeit mit PostgreSQL</w:t>
      </w:r>
    </w:p>
  </w:footnote>
  <w:footnote w:id="78">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Vgl. Somasundar, Harish (2021): Database Multi t</w:t>
      </w:r>
      <w:r>
        <w:rPr>
          <w:lang w:val="en-US"/>
        </w:rPr>
        <w:t>enancy</w:t>
      </w:r>
    </w:p>
  </w:footnote>
  <w:footnote w:id="79">
    <w:p w14:paraId="10A1A127" w14:textId="09AC3B89" w:rsidR="00A0639F" w:rsidRDefault="00A0639F">
      <w:pPr>
        <w:pStyle w:val="Funotentext"/>
      </w:pPr>
      <w:r>
        <w:rPr>
          <w:rStyle w:val="Funotenzeichen"/>
        </w:rPr>
        <w:footnoteRef/>
      </w:r>
      <w:r>
        <w:t xml:space="preserve"> </w:t>
      </w:r>
      <w:r>
        <w:t xml:space="preserve">Vgl. Lippert, Jan (2019): </w:t>
      </w:r>
      <w:r w:rsidRPr="00BA25D6">
        <w:t>Mandantenfähigkeit mit PostgreSQL</w:t>
      </w:r>
    </w:p>
  </w:footnote>
  <w:footnote w:id="80">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r w:rsidRPr="00655125">
        <w:rPr>
          <w:lang w:val="en-US"/>
        </w:rPr>
        <w:t xml:space="preserve">Vgl. </w:t>
      </w:r>
      <w:bookmarkStart w:id="42" w:name="_Hlk155896866"/>
      <w:r w:rsidRPr="00655125">
        <w:rPr>
          <w:lang w:val="en-US"/>
        </w:rPr>
        <w:t>Somasundar, Harish (2021)</w:t>
      </w:r>
      <w:bookmarkEnd w:id="42"/>
      <w:r w:rsidRPr="00655125">
        <w:rPr>
          <w:lang w:val="en-US"/>
        </w:rPr>
        <w:t>: Database Multi t</w:t>
      </w:r>
      <w:r>
        <w:rPr>
          <w:lang w:val="en-US"/>
        </w:rPr>
        <w:t>enancy</w:t>
      </w:r>
    </w:p>
  </w:footnote>
  <w:footnote w:id="81">
    <w:p w14:paraId="69992A30" w14:textId="479CCE52" w:rsidR="00CD1E16" w:rsidRDefault="00CD1E16">
      <w:pPr>
        <w:pStyle w:val="Funotentext"/>
      </w:pPr>
      <w:r>
        <w:rPr>
          <w:rStyle w:val="Funotenzeichen"/>
        </w:rPr>
        <w:footnoteRef/>
      </w:r>
      <w:r>
        <w:t xml:space="preserve"> </w:t>
      </w:r>
      <w:r>
        <w:t xml:space="preserve">Vgl. Lippert, Jan (2019): </w:t>
      </w:r>
      <w:r w:rsidRPr="00BA25D6">
        <w:t>Mandantenfähigkeit mit PostgreSQL</w:t>
      </w:r>
    </w:p>
  </w:footnote>
  <w:footnote w:id="82">
    <w:p w14:paraId="70140D57" w14:textId="1B97B747" w:rsidR="00CD1E16" w:rsidRDefault="00CD1E16">
      <w:pPr>
        <w:pStyle w:val="Funotentext"/>
      </w:pPr>
      <w:r>
        <w:rPr>
          <w:rStyle w:val="Funotenzeichen"/>
        </w:rPr>
        <w:footnoteRef/>
      </w:r>
      <w:r>
        <w:t xml:space="preserve"> </w:t>
      </w:r>
      <w:r>
        <w:t xml:space="preserve">Vgl. Lippert, Jan (2019): </w:t>
      </w:r>
      <w:r w:rsidRPr="00BA25D6">
        <w:t>Mandantenfähigkeit mit PostgreSQL</w:t>
      </w:r>
    </w:p>
  </w:footnote>
  <w:footnote w:id="83">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r w:rsidRPr="00655125">
        <w:rPr>
          <w:lang w:val="en-US"/>
        </w:rPr>
        <w:t>Vgl. Somasundar, Harish (2021): Database Multi t</w:t>
      </w:r>
      <w:r>
        <w:rPr>
          <w:lang w:val="en-US"/>
        </w:rPr>
        <w:t>enancy</w:t>
      </w:r>
    </w:p>
  </w:footnote>
  <w:footnote w:id="84">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r w:rsidRPr="00655125">
        <w:rPr>
          <w:lang w:val="en-US"/>
        </w:rPr>
        <w:t>Vgl. Somasundar, Harish (2021): Database Multi t</w:t>
      </w:r>
      <w:r>
        <w:rPr>
          <w:lang w:val="en-US"/>
        </w:rPr>
        <w:t>enancy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11"/>
  </w:num>
  <w:num w:numId="2" w16cid:durableId="440419677">
    <w:abstractNumId w:val="3"/>
  </w:num>
  <w:num w:numId="3" w16cid:durableId="2541693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4"/>
  </w:num>
  <w:num w:numId="6" w16cid:durableId="892350765">
    <w:abstractNumId w:val="19"/>
  </w:num>
  <w:num w:numId="7" w16cid:durableId="1651591600">
    <w:abstractNumId w:val="2"/>
  </w:num>
  <w:num w:numId="8" w16cid:durableId="1682778004">
    <w:abstractNumId w:val="12"/>
  </w:num>
  <w:num w:numId="9" w16cid:durableId="1135028684">
    <w:abstractNumId w:val="5"/>
  </w:num>
  <w:num w:numId="10" w16cid:durableId="231741125">
    <w:abstractNumId w:val="17"/>
  </w:num>
  <w:num w:numId="11" w16cid:durableId="1808627516">
    <w:abstractNumId w:val="18"/>
  </w:num>
  <w:num w:numId="12" w16cid:durableId="1908877836">
    <w:abstractNumId w:val="13"/>
  </w:num>
  <w:num w:numId="13" w16cid:durableId="739793564">
    <w:abstractNumId w:val="6"/>
  </w:num>
  <w:num w:numId="14" w16cid:durableId="1188524247">
    <w:abstractNumId w:val="1"/>
  </w:num>
  <w:num w:numId="15" w16cid:durableId="1188522260">
    <w:abstractNumId w:val="9"/>
  </w:num>
  <w:num w:numId="16" w16cid:durableId="285620313">
    <w:abstractNumId w:val="15"/>
  </w:num>
  <w:num w:numId="17" w16cid:durableId="1906792628">
    <w:abstractNumId w:val="4"/>
  </w:num>
  <w:num w:numId="18" w16cid:durableId="767432764">
    <w:abstractNumId w:val="16"/>
  </w:num>
  <w:num w:numId="19" w16cid:durableId="82647071">
    <w:abstractNumId w:val="10"/>
  </w:num>
  <w:num w:numId="20" w16cid:durableId="2063674459">
    <w:abstractNumId w:val="7"/>
  </w:num>
  <w:num w:numId="21" w16cid:durableId="525484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51D5"/>
    <w:rsid w:val="003A5A5B"/>
    <w:rsid w:val="003A77F2"/>
    <w:rsid w:val="003B26B6"/>
    <w:rsid w:val="003B71C2"/>
    <w:rsid w:val="003C14F0"/>
    <w:rsid w:val="003C2D04"/>
    <w:rsid w:val="003C4291"/>
    <w:rsid w:val="003C63E7"/>
    <w:rsid w:val="003D16A3"/>
    <w:rsid w:val="003D1F0B"/>
    <w:rsid w:val="003D33F4"/>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36E6"/>
    <w:rsid w:val="00471D5B"/>
    <w:rsid w:val="00472DA9"/>
    <w:rsid w:val="0047792B"/>
    <w:rsid w:val="00480EE1"/>
    <w:rsid w:val="00482910"/>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58"/>
    <w:rsid w:val="005811F3"/>
    <w:rsid w:val="00581A91"/>
    <w:rsid w:val="00582246"/>
    <w:rsid w:val="00582914"/>
    <w:rsid w:val="0058315B"/>
    <w:rsid w:val="00586774"/>
    <w:rsid w:val="005876FE"/>
    <w:rsid w:val="005933EB"/>
    <w:rsid w:val="00595738"/>
    <w:rsid w:val="005A000E"/>
    <w:rsid w:val="005A1787"/>
    <w:rsid w:val="005A1FAE"/>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5F5B6D"/>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5125"/>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18EA"/>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9E7"/>
    <w:rsid w:val="007E2F72"/>
    <w:rsid w:val="007E5073"/>
    <w:rsid w:val="007E5679"/>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3CCB"/>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39F"/>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5BC2"/>
    <w:rsid w:val="00B25FD6"/>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25D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1E16"/>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12B5A"/>
    <w:rsid w:val="00E148EA"/>
    <w:rsid w:val="00E14BC5"/>
    <w:rsid w:val="00E153F1"/>
    <w:rsid w:val="00E16B89"/>
    <w:rsid w:val="00E16DCF"/>
    <w:rsid w:val="00E16F3A"/>
    <w:rsid w:val="00E200C3"/>
    <w:rsid w:val="00E21691"/>
    <w:rsid w:val="00E217B1"/>
    <w:rsid w:val="00E22594"/>
    <w:rsid w:val="00E301AC"/>
    <w:rsid w:val="00E34A42"/>
    <w:rsid w:val="00E34C22"/>
    <w:rsid w:val="00E34F4A"/>
    <w:rsid w:val="00E365BD"/>
    <w:rsid w:val="00E36662"/>
    <w:rsid w:val="00E40719"/>
    <w:rsid w:val="00E41C21"/>
    <w:rsid w:val="00E440ED"/>
    <w:rsid w:val="00E4460F"/>
    <w:rsid w:val="00E47B07"/>
    <w:rsid w:val="00E526C8"/>
    <w:rsid w:val="00E559D3"/>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59CE"/>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34" Type="http://schemas.openxmlformats.org/officeDocument/2006/relationships/hyperlink" Target="https://www.bundesgesundheitsministerium.de/themen/pflege/online-ratgeber-pflege/die-pflegeversicherung" TargetMode="External"/><Relationship Id="rId42"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7" Type="http://schemas.openxmlformats.org/officeDocument/2006/relationships/hyperlink" Target="https://www.tk.de/firmenkunden/versicherung/beitraege-faq/zahlen-und-grenzwerte/beitragsbemessungsgrenzen-2033026" TargetMode="External"/><Relationship Id="rId50" Type="http://schemas.openxmlformats.org/officeDocument/2006/relationships/hyperlink" Target="https://www.tk.de/firmenkunden/versicherung/beitraege-faq/beitragssaetze/aktuelle-beitragssaetze-in-der-sozialversicherung-2031554" TargetMode="External"/><Relationship Id="rId55" Type="http://schemas.openxmlformats.org/officeDocument/2006/relationships/hyperlink" Target="https://www.tk.de/firmenkunden/versicherung/versicherung-faq/praktikanten/sind-praktikanten-sozialversicherungspflichtig-oder-sv-frei-2036246?tkcm=aaus" TargetMode="External"/><Relationship Id="rId63" Type="http://schemas.openxmlformats.org/officeDocument/2006/relationships/hyperlink" Target="https://www.gesetze-im-internet.de/sgb_3/__27.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Gesetzliche-Unfallversicherung/Fragen-und-Antworten/faq-wer-ist-unfallversichert-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krankengeld" TargetMode="External"/><Relationship Id="rId37" Type="http://schemas.openxmlformats.org/officeDocument/2006/relationships/hyperlink" Target="https://www.dguv.de/de/wir-ueber-uns/index.jsp" TargetMode="External"/><Relationship Id="rId40" Type="http://schemas.openxmlformats.org/officeDocument/2006/relationships/hyperlink" Target="https://www.deutsche-rentenversicherung.de/Bund/DE/Ueber-uns/Organisation/unternehmensprofil.html" TargetMode="External"/><Relationship Id="rId45" Type="http://schemas.openxmlformats.org/officeDocument/2006/relationships/hyperlink" Target="https://www.tk.de/techniker/leistungen-und-mitgliedschaft/informationen-versicherte/beitraege-beitragssaetze/tk-beitragssatz-und-zusatzbeitrag-2021472" TargetMode="External"/><Relationship Id="rId53" Type="http://schemas.openxmlformats.org/officeDocument/2006/relationships/hyperlink" Target="https://www.tk.de/firmenkunden/service/fachthemen/jahreswechsel/insolvenzgeldumlage-2024-2047584" TargetMode="External"/><Relationship Id="rId58" Type="http://schemas.openxmlformats.org/officeDocument/2006/relationships/hyperlink" Target="https://www.ihk.de/regensburg/fachthemen/recht/arbeitsrecht/arbeitsvertrag-und-beschaeftigungsverhaeltnisse/mini-jobs-und-kurzfristige-beschaeftigung-712378" TargetMode="External"/><Relationship Id="rId66"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www.triology.de/blog/mandantenfaehigkeit-mit-postgresql"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mas.de/DE/Soziales/Sozialversicherung/sozialversicherung-art.html" TargetMode="External"/><Relationship Id="rId30" Type="http://schemas.openxmlformats.org/officeDocument/2006/relationships/hyperlink" Target="https://www.bundesgesundheitsministerium.de/service/begriffe-von-a-z/l/leistungskatalog" TargetMode="External"/><Relationship Id="rId35" Type="http://schemas.openxmlformats.org/officeDocument/2006/relationships/hyperlink" Target="https://www.bundesgesundheitsministerium.de/private-krankenversicherung" TargetMode="External"/><Relationship Id="rId43" Type="http://schemas.openxmlformats.org/officeDocument/2006/relationships/hyperlink" Target="https://www.deutsche-rentenversicherung.de/DRV/DE/Experten/Arbeitgeber-und-Steuerberater/summa-summarum/Lexikon/I/insolvenzgeldumlage.html" TargetMode="External"/><Relationship Id="rId48" Type="http://schemas.openxmlformats.org/officeDocument/2006/relationships/hyperlink" Target="https://www.tk.de/firmenkunden/versicherung/beitraege-faq/zahlen-und-grenzwerte/hoehe-der-jahresarbeitsentgeltgrenze-2033028?tkcm=aaus" TargetMode="External"/><Relationship Id="rId56" Type="http://schemas.openxmlformats.org/officeDocument/2006/relationships/hyperlink" Target="https://www.tk.de/firmenkunden/versicherung/versicherung-faq/praktikanten/welche-praktika-sind-vollstaendig-versicherungsfrei-2036546" TargetMode="External"/><Relationship Id="rId64" Type="http://schemas.openxmlformats.org/officeDocument/2006/relationships/hyperlink" Target="https://medium.com/@harish.somasundar14/database-multi-tenancy-7c8dbe848d50" TargetMode="External"/><Relationship Id="rId8" Type="http://schemas.openxmlformats.org/officeDocument/2006/relationships/image" Target="media/image1.wmf"/><Relationship Id="rId51" Type="http://schemas.openxmlformats.org/officeDocument/2006/relationships/hyperlink" Target="https://www.tk.de/firmenkunden/versicherung/versicherung-faq/entgeltfortzahlungsversicherung/wer-kann-sich-in-entgeltfortzahlungsversicherung-versichern-203163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beitraege.html" TargetMode="External"/><Relationship Id="rId38" Type="http://schemas.openxmlformats.org/officeDocument/2006/relationships/hyperlink" Target="https://www.dguv.de/de/ihr_partner/unternehmen/beitragsberechnung/index.jsp" TargetMode="External"/><Relationship Id="rId46"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59" Type="http://schemas.openxmlformats.org/officeDocument/2006/relationships/hyperlink" Target="https://www.kkh.de/firmenkunden/beitrag-sozialversicherung/erstattung-umlage" TargetMode="External"/><Relationship Id="rId67" Type="http://schemas.openxmlformats.org/officeDocument/2006/relationships/fontTable" Target="fontTable.xm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DRV/DE/Beratung-und-Kontakt/Beratung-suchen-und-buchen/Meinen-Traeger-finden/meinen-traeger-finden.html" TargetMode="External"/><Relationship Id="rId54" Type="http://schemas.openxmlformats.org/officeDocument/2006/relationships/hyperlink" Target="https://www.tk.de/firmenkunden/versicherung/beitraege-faq/arbeitsentgelt/hoehe-arbeitgeberzuschuss-zur-privaten-krankenversicherung-2034496?tkcm=aaus" TargetMode="External"/><Relationship Id="rId62" Type="http://schemas.openxmlformats.org/officeDocument/2006/relationships/hyperlink" Target="https://www.minijob-zentrale.de/DE/fuer-gewerbetreibende/abgaben-und-steuern/abgaben-und-steuern_nod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Geringfuegige-Beschaeftigung/kurzfristige-beschaeftigung-art.html" TargetMode="External"/><Relationship Id="rId36" Type="http://schemas.openxmlformats.org/officeDocument/2006/relationships/hyperlink" Target="https://www.destatis.de/DE/Themen/Arbeit/Arbeitsmarkt/Qualitaet-Arbeit/Dimension-5/tarifbindung-arbeitnehmer.html" TargetMode="External"/><Relationship Id="rId49" Type="http://schemas.openxmlformats.org/officeDocument/2006/relationships/hyperlink" Target="https://www.tk.de/firmenkunden/versicherung/beitraege-faq/pflegereform-2023/wie-hoch-ist-pv-beitrag-ab-01072023-2149454?tkcm=aaus" TargetMode="External"/><Relationship Id="rId57" Type="http://schemas.openxmlformats.org/officeDocument/2006/relationships/hyperlink" Target="https://www.tk.de/firmenkunden/versicherung/versicherung-faq/praktikanten/vor-und-nachpraktika-versicherungspflichtig-2036562"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p/private-pflege-pflichtversicherung" TargetMode="External"/><Relationship Id="rId44" Type="http://schemas.openxmlformats.org/officeDocument/2006/relationships/hyperlink" Target="https://www.deutsche-rentenversicherung.de/DRV/DE/Experten/Arbeitgeber-und-Steuerberater/summa-summarum/Lexikon/K/kurzfristige_beschaeftigung.html" TargetMode="External"/><Relationship Id="rId52" Type="http://schemas.openxmlformats.org/officeDocument/2006/relationships/hyperlink" Target="https://www.tk.de/firmenkunden/versicherung/versicherung-faq/entgeltfortzahlungsversicherung/u2-mutterschaft-welche-beschaeftigungsverbote-gibt-es-2156464" TargetMode="External"/><Relationship Id="rId60"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65"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eutsche-rentenversicherung.de/SharedDocs/Glossareintraege/DE/A/arbeitslosenversicherung_arbeitsfoerderun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6945</Words>
  <Characters>43756</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117</cp:revision>
  <cp:lastPrinted>2021-09-11T16:25:00Z</cp:lastPrinted>
  <dcterms:created xsi:type="dcterms:W3CDTF">2021-09-11T15:57:00Z</dcterms:created>
  <dcterms:modified xsi:type="dcterms:W3CDTF">2024-01-11T19:40:00Z</dcterms:modified>
</cp:coreProperties>
</file>