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/>
        </w:rPr>
        <w:t>补充</w:t>
      </w:r>
      <w:r>
        <w:rPr>
          <w:rFonts w:hint="eastAsia" w:ascii="Times New Roman" w:hAnsi="Times New Roman" w:cs="Times New Roman"/>
        </w:rPr>
        <w:t>剩余访问信息，判断3次访问是否成功、是否开药，补充所有访问的诊断结果信息。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处方情况的汇总：</w:t>
      </w:r>
    </w:p>
    <w:tbl>
      <w:tblPr>
        <w:tblStyle w:val="3"/>
        <w:tblW w:w="5890" w:type="pct"/>
        <w:tblInd w:w="-59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483"/>
        <w:gridCol w:w="1364"/>
        <w:gridCol w:w="1011"/>
        <w:gridCol w:w="1537"/>
        <w:gridCol w:w="205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289" w:type="pct"/>
            <w:tcBorders>
              <w:bottom w:val="single" w:color="auto" w:sz="6" w:space="0"/>
            </w:tcBorders>
            <w:vAlign w:val="center"/>
          </w:tcPr>
          <w:p>
            <w:pPr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条目</w:t>
            </w:r>
          </w:p>
        </w:tc>
        <w:tc>
          <w:tcPr>
            <w:tcW w:w="738" w:type="pct"/>
            <w:tcBorders>
              <w:bottom w:val="single" w:color="auto" w:sz="6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应完成访问数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679" w:type="pct"/>
            <w:tcBorders>
              <w:bottom w:val="single" w:color="auto" w:sz="6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访问成功数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503" w:type="pct"/>
            <w:tcBorders>
              <w:bottom w:val="single" w:color="auto" w:sz="6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处方数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765" w:type="pct"/>
            <w:tcBorders>
              <w:bottom w:val="single" w:color="auto" w:sz="6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中成药处方数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1023" w:type="pct"/>
            <w:tcBorders>
              <w:bottom w:val="single" w:color="auto" w:sz="6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中成药联用处方数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省份</w:t>
            </w:r>
          </w:p>
        </w:tc>
        <w:tc>
          <w:tcPr>
            <w:tcW w:w="738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广东省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湖南省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四川省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甘肃省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内蒙古自治区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陕西省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贵州省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病例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小儿腹泻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胃炎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普通感冒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哮喘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高血压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偏头痛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腰背痛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糖尿病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心绞痛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压力性尿失禁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产后抑郁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机构类型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门诊部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医院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乡镇卫生院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诊所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社区卫生服务中心/站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村卫生室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注册类型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营利性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非营利性</w:t>
            </w:r>
          </w:p>
        </w:tc>
        <w:tc>
          <w:tcPr>
            <w:tcW w:w="738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79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50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76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23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所有访问诊断结果</w:t>
      </w:r>
      <w:r>
        <w:rPr>
          <w:rFonts w:hint="eastAsia" w:ascii="Times New Roman" w:hAnsi="Times New Roman" w:cs="Times New Roman"/>
          <w:lang w:eastAsia="zh-CN"/>
        </w:rPr>
        <w:t>：</w:t>
      </w:r>
    </w:p>
    <w:tbl>
      <w:tblPr>
        <w:tblStyle w:val="3"/>
        <w:tblW w:w="4998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0"/>
        <w:gridCol w:w="1726"/>
        <w:gridCol w:w="1726"/>
        <w:gridCol w:w="172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60" w:type="pct"/>
            <w:tcBorders>
              <w:bottom w:val="single" w:color="auto" w:sz="6" w:space="0"/>
            </w:tcBorders>
            <w:vAlign w:val="center"/>
          </w:tcPr>
          <w:p>
            <w:pPr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条目</w:t>
            </w:r>
          </w:p>
        </w:tc>
        <w:tc>
          <w:tcPr>
            <w:tcW w:w="1013" w:type="pct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正确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1013" w:type="pct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部分正确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1013" w:type="pct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错误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省份</w:t>
            </w:r>
          </w:p>
        </w:tc>
        <w:tc>
          <w:tcPr>
            <w:tcW w:w="1013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op w:val="single" w:color="auto" w:sz="6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广东省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湖南省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四川省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甘肃省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内蒙古自治区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陕西省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贵州省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病例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小儿腹泻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胃炎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普通感冒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哮喘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高血压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偏头痛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腰背痛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糖尿病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心绞痛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压力性尿失禁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产后抑郁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机构类型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门诊部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医院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乡镇卫生院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诊所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社区卫生服务中心/站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村卫生室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注册类型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营利性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60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非营利性</w:t>
            </w: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3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3"/>
        <w:tblpPr w:leftFromText="180" w:rightFromText="180" w:vertAnchor="text" w:tblpX="10214" w:tblpY="-1722"/>
        <w:tblOverlap w:val="never"/>
        <w:tblW w:w="31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5000" w:type="pct"/>
          </w:tcPr>
          <w:p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4、诊断和处置的四种组合及后续分析：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诊断正确，处置正确；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诊断正确，处置错误；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诊断错误，处置正确；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诊断错误，处置错误；</w:t>
      </w:r>
    </w:p>
    <w:tbl>
      <w:tblPr>
        <w:tblStyle w:val="3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101"/>
        <w:gridCol w:w="1104"/>
        <w:gridCol w:w="1101"/>
        <w:gridCol w:w="1104"/>
        <w:gridCol w:w="1101"/>
        <w:gridCol w:w="110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条目</w:t>
            </w:r>
          </w:p>
        </w:tc>
        <w:tc>
          <w:tcPr>
            <w:tcW w:w="1294" w:type="pct"/>
            <w:gridSpan w:val="2"/>
            <w:tcBorders>
              <w:bottom w:val="single" w:color="auto" w:sz="6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诊断正确</w:t>
            </w:r>
          </w:p>
        </w:tc>
        <w:tc>
          <w:tcPr>
            <w:tcW w:w="1294" w:type="pct"/>
            <w:gridSpan w:val="2"/>
            <w:tcBorders>
              <w:bottom w:val="single" w:color="auto" w:sz="6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诊断部分正确</w:t>
            </w:r>
          </w:p>
        </w:tc>
        <w:tc>
          <w:tcPr>
            <w:tcW w:w="1296" w:type="pct"/>
            <w:gridSpan w:val="2"/>
            <w:tcBorders>
              <w:bottom w:val="single" w:color="auto" w:sz="6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诊断错误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vMerge w:val="continue"/>
            <w:tcBorders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646" w:type="pct"/>
            <w:tcBorders>
              <w:top w:val="single" w:color="auto" w:sz="6" w:space="0"/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用药合理数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647" w:type="pct"/>
            <w:tcBorders>
              <w:top w:val="single" w:color="auto" w:sz="6" w:space="0"/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用药不合理数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646" w:type="pct"/>
            <w:tcBorders>
              <w:top w:val="single" w:color="auto" w:sz="6" w:space="0"/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用药合理数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647" w:type="pct"/>
            <w:tcBorders>
              <w:top w:val="single" w:color="auto" w:sz="6" w:space="0"/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用药不合理数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646" w:type="pct"/>
            <w:tcBorders>
              <w:top w:val="single" w:color="auto" w:sz="6" w:space="0"/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用药合理数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  <w:tc>
          <w:tcPr>
            <w:tcW w:w="649" w:type="pct"/>
            <w:tcBorders>
              <w:top w:val="single" w:color="auto" w:sz="6" w:space="0"/>
              <w:bottom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用药不合理数</w:t>
            </w:r>
            <w:r>
              <w:rPr>
                <w:rFonts w:ascii="Times New Roman" w:hAnsi="Times New Roman" w:cs="Times New Roman"/>
                <w:szCs w:val="21"/>
              </w:rPr>
              <w:t>[n(%)]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省份</w:t>
            </w:r>
          </w:p>
        </w:tc>
        <w:tc>
          <w:tcPr>
            <w:tcW w:w="646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op w:val="single" w:color="auto" w:sz="12" w:space="0"/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广东省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湖南省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四川省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甘肃省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内蒙古自治区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陕西省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贵州省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病例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小儿腹泻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胃炎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普通感冒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哮喘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高血压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偏头痛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腰背痛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糖尿病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心绞痛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压力性尿失禁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产后抑郁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机构类型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门诊部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医院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乡镇卫生院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诊所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社区卫生服务中心/站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村卫生室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注册类型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营利性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tl2br w:val="nil"/>
              <w:tr2bl w:val="nil"/>
            </w:tcBorders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非营利性</w:t>
            </w: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国家中成药基本药物使用情况：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2"/>
        <w:gridCol w:w="1553"/>
        <w:gridCol w:w="1553"/>
        <w:gridCol w:w="1118"/>
        <w:gridCol w:w="11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ind w:firstLine="420" w:firstLineChars="2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条目</w:t>
            </w:r>
          </w:p>
        </w:tc>
        <w:tc>
          <w:tcPr>
            <w:tcW w:w="911" w:type="pct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中成药处方数</w:t>
            </w:r>
          </w:p>
        </w:tc>
        <w:tc>
          <w:tcPr>
            <w:tcW w:w="911" w:type="pct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中成药种次</w:t>
            </w:r>
          </w:p>
        </w:tc>
        <w:tc>
          <w:tcPr>
            <w:tcW w:w="1315" w:type="pct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是否为基药[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%)]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659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省份</w:t>
            </w:r>
          </w:p>
        </w:tc>
        <w:tc>
          <w:tcPr>
            <w:tcW w:w="911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广东省</w:t>
            </w:r>
          </w:p>
        </w:tc>
        <w:tc>
          <w:tcPr>
            <w:tcW w:w="911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湖南省</w:t>
            </w: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四川省</w:t>
            </w: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甘肃省</w:t>
            </w: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内蒙古自治区</w:t>
            </w: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陕西省</w:t>
            </w:r>
          </w:p>
        </w:tc>
        <w:tc>
          <w:tcPr>
            <w:tcW w:w="911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贵州省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病例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小儿腹泻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胃炎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普通感冒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哮喘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高血压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偏头痛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腰背痛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糖尿病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心绞痛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压力性尿失禁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产后抑郁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机构类型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门诊部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医院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乡镇卫生院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诊所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社区卫生服务中心/站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村卫生室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注册类型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营利性</w:t>
            </w: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861" w:type="pct"/>
            <w:tcBorders>
              <w:top w:val="nil"/>
              <w:bottom w:val="single" w:color="auto" w:sz="12" w:space="0"/>
            </w:tcBorders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非营利性</w:t>
            </w:r>
          </w:p>
        </w:tc>
        <w:tc>
          <w:tcPr>
            <w:tcW w:w="911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11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948"/>
        <w:gridCol w:w="1132"/>
        <w:gridCol w:w="948"/>
        <w:gridCol w:w="1132"/>
        <w:gridCol w:w="948"/>
        <w:gridCol w:w="113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vMerge w:val="restar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ind w:firstLine="420" w:firstLineChars="2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条目</w:t>
            </w:r>
          </w:p>
        </w:tc>
        <w:tc>
          <w:tcPr>
            <w:tcW w:w="1362" w:type="pct"/>
            <w:gridSpan w:val="2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诊断正确</w:t>
            </w:r>
          </w:p>
        </w:tc>
        <w:tc>
          <w:tcPr>
            <w:tcW w:w="620" w:type="pct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部分正确</w:t>
            </w:r>
          </w:p>
        </w:tc>
        <w:tc>
          <w:tcPr>
            <w:tcW w:w="1499" w:type="pct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诊断错误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19" w:type="pct"/>
            <w:tcBorders>
              <w:top w:val="single" w:color="auto" w:sz="6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基药种次</w:t>
            </w:r>
          </w:p>
        </w:tc>
        <w:tc>
          <w:tcPr>
            <w:tcW w:w="743" w:type="pct"/>
            <w:tcBorders>
              <w:top w:val="single" w:color="auto" w:sz="6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非基药种次</w:t>
            </w:r>
          </w:p>
        </w:tc>
        <w:tc>
          <w:tcPr>
            <w:tcW w:w="309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基药种次</w:t>
            </w:r>
          </w:p>
        </w:tc>
        <w:tc>
          <w:tcPr>
            <w:tcW w:w="310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非基药种次</w:t>
            </w:r>
          </w:p>
        </w:tc>
        <w:tc>
          <w:tcPr>
            <w:tcW w:w="683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基药种次</w:t>
            </w:r>
          </w:p>
        </w:tc>
        <w:tc>
          <w:tcPr>
            <w:tcW w:w="81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非基药种次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省份</w:t>
            </w:r>
          </w:p>
        </w:tc>
        <w:tc>
          <w:tcPr>
            <w:tcW w:w="619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广东省</w:t>
            </w:r>
          </w:p>
        </w:tc>
        <w:tc>
          <w:tcPr>
            <w:tcW w:w="619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湖南省</w:t>
            </w:r>
          </w:p>
        </w:tc>
        <w:tc>
          <w:tcPr>
            <w:tcW w:w="61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四川省</w:t>
            </w:r>
          </w:p>
        </w:tc>
        <w:tc>
          <w:tcPr>
            <w:tcW w:w="61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甘肃省</w:t>
            </w:r>
          </w:p>
        </w:tc>
        <w:tc>
          <w:tcPr>
            <w:tcW w:w="61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内蒙古自治区</w:t>
            </w:r>
          </w:p>
        </w:tc>
        <w:tc>
          <w:tcPr>
            <w:tcW w:w="61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陕西省</w:t>
            </w:r>
          </w:p>
        </w:tc>
        <w:tc>
          <w:tcPr>
            <w:tcW w:w="619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贵州省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病例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小儿腹泻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胃炎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普通感冒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哮喘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高血压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偏头痛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腰背痛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糖尿病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心绞痛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压力性尿失禁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产后抑郁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机构类型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门诊部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医院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乡镇卫生院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诊所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社区卫生服务中心/站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村卫生室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注册类型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nil"/>
            </w:tcBorders>
            <w:shd w:val="clear" w:color="auto" w:fill="auto"/>
            <w:noWrap/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营利性</w:t>
            </w:r>
          </w:p>
        </w:tc>
        <w:tc>
          <w:tcPr>
            <w:tcW w:w="61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517" w:type="pct"/>
            <w:tcBorders>
              <w:top w:val="nil"/>
              <w:bottom w:val="single" w:color="auto" w:sz="12" w:space="0"/>
            </w:tcBorders>
            <w:vAlign w:val="top"/>
          </w:tcPr>
          <w:p>
            <w:pPr>
              <w:spacing w:line="360" w:lineRule="exact"/>
              <w:ind w:firstLine="420" w:firstLineChars="20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非营利性</w:t>
            </w:r>
          </w:p>
        </w:tc>
        <w:tc>
          <w:tcPr>
            <w:tcW w:w="619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43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9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6" w:type="pct"/>
            <w:tcBorders>
              <w:top w:val="nil"/>
              <w:bottom w:val="single" w:color="auto" w:sz="12" w:space="0"/>
            </w:tcBorders>
          </w:tcPr>
          <w:p>
            <w:pPr>
              <w:widowControl w:val="0"/>
              <w:spacing w:line="360" w:lineRule="exact"/>
              <w:jc w:val="center"/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59B38"/>
    <w:multiLevelType w:val="singleLevel"/>
    <w:tmpl w:val="9EB59B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5C6568"/>
    <w:multiLevelType w:val="singleLevel"/>
    <w:tmpl w:val="575C656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7BF8868"/>
    <w:multiLevelType w:val="singleLevel"/>
    <w:tmpl w:val="67BF886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4OTI0MjUxZmIxZWZkZDhhZmVmZDNiYzllZmNmZjUifQ=="/>
  </w:docVars>
  <w:rsids>
    <w:rsidRoot w:val="00D14F54"/>
    <w:rsid w:val="00A17303"/>
    <w:rsid w:val="00D14F54"/>
    <w:rsid w:val="00EB7A3D"/>
    <w:rsid w:val="00FE7A3D"/>
    <w:rsid w:val="0D1B78A5"/>
    <w:rsid w:val="1AA154CF"/>
    <w:rsid w:val="1ED93CD5"/>
    <w:rsid w:val="2CD65BA3"/>
    <w:rsid w:val="32451BBB"/>
    <w:rsid w:val="335C7AA4"/>
    <w:rsid w:val="356B6BBE"/>
    <w:rsid w:val="3D414B4F"/>
    <w:rsid w:val="40A97559"/>
    <w:rsid w:val="473D5595"/>
    <w:rsid w:val="47596E9F"/>
    <w:rsid w:val="574C6FF4"/>
    <w:rsid w:val="57E142DE"/>
    <w:rsid w:val="5D5C19F4"/>
    <w:rsid w:val="5E470A01"/>
    <w:rsid w:val="67570C91"/>
    <w:rsid w:val="6ABE6E95"/>
    <w:rsid w:val="75DA58DB"/>
    <w:rsid w:val="76136A98"/>
    <w:rsid w:val="763839DA"/>
    <w:rsid w:val="7E66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823</Words>
  <Characters>898</Characters>
  <Lines>8</Lines>
  <Paragraphs>2</Paragraphs>
  <TotalTime>0</TotalTime>
  <ScaleCrop>false</ScaleCrop>
  <LinksUpToDate>false</LinksUpToDate>
  <CharactersWithSpaces>898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2023-04-24T11:44:00Z</dcterms:created>
  <dc:creator>qy</dc:creator>
  <cp:lastModifiedBy>yaohui</cp:lastModifiedBy>
  <dcterms:modified xsi:type="dcterms:W3CDTF">2023-06-02T14:46:01Z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61A67C7AEC154294B59A6670453EACAC_12</vt:lpwstr>
  </property>
</Properties>
</file>