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Theme="minorEastAsia" w:hAnsiTheme="minorEastAsia" w:eastAsiaTheme="minorEastAsia" w:cstheme="minorEastAsia"/>
          <w:sz w:val="72"/>
          <w:szCs w:val="72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Theme="minorEastAsia" w:hAnsiTheme="minorEastAsia" w:eastAsiaTheme="minorEastAsia" w:cstheme="minorEastAsia"/>
          <w:sz w:val="72"/>
          <w:szCs w:val="72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</w:rPr>
        <w:t>系统功能测试</w:t>
      </w:r>
      <w:bookmarkStart w:id="6" w:name="_GoBack"/>
      <w:bookmarkEnd w:id="6"/>
      <w:r>
        <w:rPr>
          <w:rFonts w:hint="eastAsia" w:asciiTheme="minorEastAsia" w:hAnsiTheme="minorEastAsia" w:eastAsiaTheme="minorEastAsia" w:cstheme="minorEastAsia"/>
          <w:sz w:val="72"/>
          <w:szCs w:val="72"/>
        </w:rPr>
        <w:t>用例</w:t>
      </w:r>
    </w:p>
    <w:p>
      <w:pPr>
        <w:ind w:firstLine="1800" w:firstLineChars="250"/>
        <w:rPr>
          <w:rFonts w:hint="eastAsia" w:asciiTheme="minorEastAsia" w:hAnsiTheme="minorEastAsia" w:eastAsiaTheme="minorEastAsia" w:cstheme="minorEastAsia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]草稿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2019年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br w:type="page"/>
      </w:r>
    </w:p>
    <w:p>
      <w:pPr>
        <w:ind w:firstLine="2860" w:firstLineChars="650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版 本 历 史</w:t>
      </w: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2019年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日至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月8日</w:t>
            </w:r>
          </w:p>
        </w:tc>
        <w:tc>
          <w:tcPr>
            <w:tcW w:w="289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依据项目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详细设计报告编写注册登录测试用例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2019年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日至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依据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详细设计报告编写基础记账和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2019年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日至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依据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详细设计报告编写收支显示、收支统计、分享动态及动态圈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测试用例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0" w:name="_Toc345"/>
      <w:bookmarkStart w:id="1" w:name="_Toc19476"/>
      <w:r>
        <w:rPr>
          <w:rFonts w:hint="eastAsia" w:asciiTheme="minorEastAsia" w:hAnsiTheme="minorEastAsia" w:eastAsiaTheme="minorEastAsia" w:cstheme="minorEastAsia"/>
          <w:lang w:val="en-US" w:eastAsia="zh-CN"/>
        </w:rPr>
        <w:t>收支显示模块测试用例</w:t>
      </w:r>
      <w:bookmarkEnd w:id="0"/>
      <w:bookmarkEnd w:id="1"/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收支显示功能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SZXS-XSSZ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SZXS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-XSSZ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可以显示收支功能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选择显示所有收支信息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显示了所有的收支信息，并且有对应的账单信息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选择仅显示收入信息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显示了所有的收入信息，但不显示支出信息，并且有对应的账单信息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选择仅显示支出信息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显示了所有的支出信息，但不显示收入信息，并且有对应的账单信息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2" w:name="_Toc11294"/>
      <w:bookmarkStart w:id="3" w:name="_Toc6924"/>
      <w:r>
        <w:rPr>
          <w:rFonts w:hint="eastAsia" w:asciiTheme="minorEastAsia" w:hAnsiTheme="minorEastAsia" w:eastAsiaTheme="minorEastAsia" w:cstheme="minorEastAsia"/>
          <w:lang w:val="en-US" w:eastAsia="zh-CN"/>
        </w:rPr>
        <w:t>收支统计模块测试用例</w:t>
      </w:r>
      <w:bookmarkEnd w:id="2"/>
      <w:bookmarkEnd w:id="3"/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按选择日期收支统计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点击收支统计功能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进入收支统计功能界面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4" w:name="_Toc30773"/>
      <w:bookmarkStart w:id="5" w:name="_Toc11224"/>
      <w:r>
        <w:rPr>
          <w:rFonts w:hint="eastAsia" w:asciiTheme="minorEastAsia" w:hAnsiTheme="minorEastAsia" w:eastAsiaTheme="minorEastAsia" w:cstheme="minorEastAsia"/>
          <w:lang w:eastAsia="zh-CN"/>
        </w:rPr>
        <w:t>分享动态</w:t>
      </w:r>
      <w:r>
        <w:rPr>
          <w:rFonts w:hint="eastAsia" w:asciiTheme="minorEastAsia" w:hAnsiTheme="minorEastAsia" w:eastAsiaTheme="minorEastAsia" w:cstheme="minorEastAsia"/>
        </w:rPr>
        <w:t>模块测试用例</w:t>
      </w:r>
      <w:bookmarkEnd w:id="4"/>
      <w:bookmarkEnd w:id="5"/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进入新增动态页面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输入任意汉字和字母、数字及特殊符号的组合（150字之内）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立即刷新，显示用户本人新发表的动态，动态下方显示所在位置，即“北京信息科技大学健翔桥校区”，以及正确的发布时间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不输入内容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提示未输入内容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输入151字的任意汉字和字母、数字及特殊符号的组合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提示输入内容超出最大限制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立即刷新，显示删除该动态后的动态圈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tbl>
      <w:tblPr>
        <w:tblStyle w:val="6"/>
        <w:tblpPr w:leftFromText="180" w:rightFromText="180" w:vertAnchor="page" w:horzAnchor="page" w:tblpX="923" w:tblpY="5533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点击取消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页面不刷新，也不会有任何改变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page" w:tblpX="1136" w:tblpY="8765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刷新动态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下拉页面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刷新页面，重新定位，显示附近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取消点赞动态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用户已经登录，位于社区界面，且已经对其中一条动态点赞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6"/>
        <w:tblpPr w:leftFromText="180" w:rightFromText="180" w:vertAnchor="page" w:horzAnchor="page" w:tblpX="1011" w:tblpY="7889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任意汉字和字母、数字及特殊符号的组合（输入151字）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提示字数超出限制，发表失败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点击页面的其他位置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收回输入框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长按所需删除的自己发表的评论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立即刷新，显示删除该评论后的动态圈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长按他人发表的评论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页面不弹出提示框，没有任何变化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4328"/>
    <w:rsid w:val="01102F8F"/>
    <w:rsid w:val="024630D3"/>
    <w:rsid w:val="048D756C"/>
    <w:rsid w:val="05EE6E40"/>
    <w:rsid w:val="06B12A27"/>
    <w:rsid w:val="06D238A1"/>
    <w:rsid w:val="07234C24"/>
    <w:rsid w:val="084374AC"/>
    <w:rsid w:val="08AA721F"/>
    <w:rsid w:val="0B1505C5"/>
    <w:rsid w:val="0BC8450C"/>
    <w:rsid w:val="0D612436"/>
    <w:rsid w:val="11880461"/>
    <w:rsid w:val="12AD3D75"/>
    <w:rsid w:val="14B04169"/>
    <w:rsid w:val="161E244E"/>
    <w:rsid w:val="19240B66"/>
    <w:rsid w:val="1BB01B52"/>
    <w:rsid w:val="21DA7A5B"/>
    <w:rsid w:val="22AC238F"/>
    <w:rsid w:val="245A057E"/>
    <w:rsid w:val="2A297244"/>
    <w:rsid w:val="2BC200EC"/>
    <w:rsid w:val="2C5A64E6"/>
    <w:rsid w:val="2CA26D2D"/>
    <w:rsid w:val="2EA848D9"/>
    <w:rsid w:val="2F182D2E"/>
    <w:rsid w:val="2F614948"/>
    <w:rsid w:val="324F281C"/>
    <w:rsid w:val="32D55265"/>
    <w:rsid w:val="335158F3"/>
    <w:rsid w:val="340173F1"/>
    <w:rsid w:val="3B8B728D"/>
    <w:rsid w:val="3C873B32"/>
    <w:rsid w:val="3EB14820"/>
    <w:rsid w:val="403E5FEA"/>
    <w:rsid w:val="41B616D4"/>
    <w:rsid w:val="41FF27AC"/>
    <w:rsid w:val="420E7A15"/>
    <w:rsid w:val="421C282B"/>
    <w:rsid w:val="432D7E49"/>
    <w:rsid w:val="47EA65E9"/>
    <w:rsid w:val="4AAC3C1E"/>
    <w:rsid w:val="4C2B7413"/>
    <w:rsid w:val="4D14041F"/>
    <w:rsid w:val="4E2B7711"/>
    <w:rsid w:val="4E4D64C2"/>
    <w:rsid w:val="4F377E67"/>
    <w:rsid w:val="51E5043D"/>
    <w:rsid w:val="53E9638C"/>
    <w:rsid w:val="54EE4E1D"/>
    <w:rsid w:val="56F66818"/>
    <w:rsid w:val="5A173693"/>
    <w:rsid w:val="5BE05467"/>
    <w:rsid w:val="5DD1037F"/>
    <w:rsid w:val="5F61065E"/>
    <w:rsid w:val="60711C3E"/>
    <w:rsid w:val="61256578"/>
    <w:rsid w:val="617222E5"/>
    <w:rsid w:val="64A15077"/>
    <w:rsid w:val="66BC1849"/>
    <w:rsid w:val="69A16AE3"/>
    <w:rsid w:val="6BA349C6"/>
    <w:rsid w:val="6C033442"/>
    <w:rsid w:val="6E534B62"/>
    <w:rsid w:val="711B06A8"/>
    <w:rsid w:val="71532421"/>
    <w:rsid w:val="722C5B37"/>
    <w:rsid w:val="753F2ECB"/>
    <w:rsid w:val="77C655AB"/>
    <w:rsid w:val="7AFB39AC"/>
    <w:rsid w:val="7CED4C96"/>
    <w:rsid w:val="7DAC6CF9"/>
    <w:rsid w:val="7E22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7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2019-11-15T14:51:38Z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