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V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华文新魏" w:eastAsia="华文新魏"/>
                <w:sz w:val="30"/>
                <w:szCs w:val="30"/>
              </w:rPr>
              <w:t>.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华文新魏" w:eastAsia="华文新魏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2019年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eastAsia="华文新魏"/>
                <w:sz w:val="30"/>
                <w:szCs w:val="30"/>
              </w:rPr>
              <w:t>月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ascii="华文新魏" w:eastAsia="华文新魏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eastAsia="华文新魏"/>
          <w:sz w:val="30"/>
          <w:szCs w:val="30"/>
        </w:rPr>
      </w:pPr>
    </w:p>
    <w:p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版 本 历 史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</w:t>
            </w:r>
            <w:r>
              <w:rPr>
                <w:rFonts w:ascii="楷体" w:hAnsi="楷体" w:eastAsia="楷体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详细设计报告编写注册登录、基础记账及收支显示测试用例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修改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1.0版本中的错误，并依据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修改了2.0版本中的错误，并依据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修改了2.1版本中的错误，并依据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2.3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调整了页面的</w:t>
            </w:r>
          </w:p>
        </w:tc>
      </w:tr>
    </w:tbl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6459"/>
        <w15:color w:val="DBDBDB"/>
        <w:docPartObj>
          <w:docPartGallery w:val="Table of Contents"/>
          <w:docPartUnique/>
        </w:docPartObj>
      </w:sdtPr>
      <w:sdtEndPr>
        <w:rPr>
          <w:rFonts w:ascii="华文新魏" w:hAnsi="Calibri" w:eastAsia="华文新魏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华文新魏" w:eastAsia="华文新魏"/>
              <w:sz w:val="44"/>
              <w:szCs w:val="44"/>
            </w:rPr>
            <w:fldChar w:fldCharType="begin"/>
          </w:r>
          <w:r>
            <w:rPr>
              <w:rFonts w:ascii="华文新魏" w:eastAsia="华文新魏"/>
              <w:sz w:val="44"/>
              <w:szCs w:val="44"/>
            </w:rPr>
            <w:instrText xml:space="preserve">TOC \o "1-1" \h \u </w:instrText>
          </w:r>
          <w:r>
            <w:rPr>
              <w:rFonts w:ascii="华文新魏" w:eastAsia="华文新魏"/>
              <w:sz w:val="44"/>
              <w:szCs w:val="44"/>
            </w:rPr>
            <w:fldChar w:fldCharType="separate"/>
          </w:r>
          <w:r>
            <w:rPr>
              <w:rFonts w:ascii="华文新魏" w:eastAsia="华文新魏"/>
              <w:szCs w:val="44"/>
            </w:rPr>
            <w:fldChar w:fldCharType="begin"/>
          </w:r>
          <w:r>
            <w:rPr>
              <w:rFonts w:ascii="华文新魏" w:eastAsia="华文新魏"/>
              <w:szCs w:val="44"/>
            </w:rPr>
            <w:instrText xml:space="preserve"> HYPERLINK \l _Toc21143 </w:instrText>
          </w:r>
          <w:r>
            <w:rPr>
              <w:rFonts w:ascii="华文新魏" w:eastAsia="华文新魏"/>
              <w:szCs w:val="44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1 </w:t>
          </w:r>
          <w:r>
            <w:rPr>
              <w:rFonts w:hint="eastAsia"/>
              <w:lang w:val="en-US" w:eastAsia="zh-CN"/>
            </w:rPr>
            <w:t>登陆注册</w:t>
          </w:r>
          <w:r>
            <w:rPr>
              <w:rFonts w:hint="eastAsia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_Toc21143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新魏" w:eastAsia="华文新魏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华文新魏" w:eastAsia="华文新魏"/>
              <w:szCs w:val="44"/>
            </w:rPr>
            <w:fldChar w:fldCharType="begin"/>
          </w:r>
          <w:r>
            <w:rPr>
              <w:rFonts w:ascii="华文新魏" w:eastAsia="华文新魏"/>
              <w:szCs w:val="44"/>
            </w:rPr>
            <w:instrText xml:space="preserve"> HYPERLINK \l _Toc27716 </w:instrText>
          </w:r>
          <w:r>
            <w:rPr>
              <w:rFonts w:ascii="华文新魏" w:eastAsia="华文新魏"/>
              <w:szCs w:val="44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2 </w:t>
          </w:r>
          <w:r>
            <w:rPr>
              <w:rFonts w:hint="eastAsia"/>
              <w:lang w:val="en-US" w:eastAsia="zh-CN"/>
            </w:rPr>
            <w:t>基础记账</w:t>
          </w:r>
          <w:r>
            <w:rPr>
              <w:rFonts w:hint="eastAsia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_Toc27716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华文新魏" w:eastAsia="华文新魏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华文新魏" w:eastAsia="华文新魏"/>
              <w:szCs w:val="44"/>
            </w:rPr>
            <w:fldChar w:fldCharType="begin"/>
          </w:r>
          <w:r>
            <w:rPr>
              <w:rFonts w:ascii="华文新魏" w:eastAsia="华文新魏"/>
              <w:szCs w:val="44"/>
            </w:rPr>
            <w:instrText xml:space="preserve"> HYPERLINK \l _Toc1188 </w:instrText>
          </w:r>
          <w:r>
            <w:rPr>
              <w:rFonts w:ascii="华文新魏" w:eastAsia="华文新魏"/>
              <w:szCs w:val="44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 </w:t>
          </w:r>
          <w:r>
            <w:rPr>
              <w:rFonts w:hint="eastAsia"/>
              <w:lang w:eastAsia="zh-CN"/>
            </w:rPr>
            <w:t>设置</w:t>
          </w:r>
          <w:r>
            <w:rPr>
              <w:rFonts w:hint="eastAsia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_Toc1188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华文新魏" w:eastAsia="华文新魏"/>
              <w:szCs w:val="44"/>
            </w:rPr>
            <w:fldChar w:fldCharType="end"/>
          </w:r>
        </w:p>
        <w:p>
          <w:pPr>
            <w:rPr>
              <w:rFonts w:ascii="华文新魏" w:eastAsia="华文新魏"/>
              <w:sz w:val="44"/>
              <w:szCs w:val="44"/>
            </w:rPr>
          </w:pPr>
          <w:r>
            <w:rPr>
              <w:rFonts w:ascii="华文新魏" w:eastAsia="华文新魏"/>
              <w:szCs w:val="44"/>
            </w:rPr>
            <w:fldChar w:fldCharType="end"/>
          </w:r>
        </w:p>
      </w:sdtContent>
    </w:sdt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bookmarkStart w:id="0" w:name="_Toc21143"/>
      <w:r>
        <w:rPr>
          <w:rFonts w:hint="eastAsia"/>
          <w:lang w:val="en-US" w:eastAsia="zh-CN"/>
        </w:rPr>
        <w:t>登陆注册</w:t>
      </w:r>
      <w:r>
        <w:rPr>
          <w:rFonts w:hint="eastAsia"/>
        </w:rPr>
        <w:t>模块测试用例</w:t>
      </w:r>
      <w:bookmarkEnd w:id="0"/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ZCDL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YHZC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default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/>
              </w:rPr>
            </w:pPr>
            <w:r>
              <w:rPr>
                <w:rFonts w:hint="default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Z</w:t>
            </w:r>
            <w:r>
              <w:rPr>
                <w:rFonts w:hint="eastAsia"/>
                <w:bCs/>
                <w:lang w:val="en-US" w:eastAsia="zh-CN"/>
              </w:rPr>
              <w:t>CDL-YHDL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firstLine="420"/>
        <w:rPr>
          <w:rFonts w:hint="eastAsia"/>
        </w:rPr>
      </w:pPr>
    </w:p>
    <w:p>
      <w:pPr>
        <w:tabs>
          <w:tab w:val="left" w:pos="2520"/>
        </w:tabs>
        <w:ind w:firstLine="420"/>
        <w:rPr>
          <w:rFonts w:hint="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Z</w:t>
            </w:r>
            <w:r>
              <w:rPr>
                <w:rFonts w:hint="eastAsia"/>
                <w:bCs/>
                <w:lang w:val="en-US" w:eastAsia="zh-CN"/>
              </w:rPr>
              <w:t>CDL-YHDL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Z</w:t>
            </w:r>
            <w:r>
              <w:rPr>
                <w:rFonts w:hint="eastAsia"/>
                <w:bCs/>
                <w:lang w:val="en-US" w:eastAsia="zh-CN"/>
              </w:rPr>
              <w:t>CDL-YHDL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27716"/>
      <w:bookmarkStart w:id="3" w:name="_GoBack"/>
      <w:bookmarkEnd w:id="3"/>
      <w:r>
        <w:rPr>
          <w:rFonts w:hint="eastAsia"/>
          <w:lang w:val="en-US" w:eastAsia="zh-CN"/>
        </w:rPr>
        <w:t>基础记账</w:t>
      </w:r>
      <w:r>
        <w:rPr>
          <w:rFonts w:hint="eastAsia"/>
        </w:rPr>
        <w:t>模块测试用例</w:t>
      </w:r>
      <w:bookmarkEnd w:id="1"/>
    </w:p>
    <w:p>
      <w:pPr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JCJZ-TJZD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选择金额精确到分的输入框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选择金额精确小于分的输入框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提示输入格式有问题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JCJZ-SCZD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JCJZ-XGZD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补输入金额数目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补选择盈利或者亏损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不选择金额的输入框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输入金额数目且精确到分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输入金额数目且精确到小于分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不对金额操作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修改日期到昨天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JCJZ-CZZD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bookmarkStart w:id="2" w:name="_Toc1188"/>
      <w:r>
        <w:rPr>
          <w:rFonts w:hint="eastAsia"/>
          <w:lang w:eastAsia="zh-CN"/>
        </w:rPr>
        <w:t>设置</w:t>
      </w:r>
      <w:r>
        <w:rPr>
          <w:rFonts w:hint="eastAsia"/>
        </w:rPr>
        <w:t>模块测试用例</w:t>
      </w:r>
      <w:bookmarkEnd w:id="2"/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JM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SZ-JM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SYBZ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SZ-SYBZ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GYWM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SZ-GYWM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界面显示“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TCDL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取消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TCDL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确定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8AA721F"/>
    <w:rsid w:val="0B1505C5"/>
    <w:rsid w:val="0BC8450C"/>
    <w:rsid w:val="11880461"/>
    <w:rsid w:val="161E244E"/>
    <w:rsid w:val="1DE349F7"/>
    <w:rsid w:val="22AC238F"/>
    <w:rsid w:val="245A057E"/>
    <w:rsid w:val="2A297244"/>
    <w:rsid w:val="3EB14820"/>
    <w:rsid w:val="420E7A15"/>
    <w:rsid w:val="432D7E49"/>
    <w:rsid w:val="4E4D64C2"/>
    <w:rsid w:val="53E9638C"/>
    <w:rsid w:val="54EE4E1D"/>
    <w:rsid w:val="61256578"/>
    <w:rsid w:val="617222E5"/>
    <w:rsid w:val="69A16AE3"/>
    <w:rsid w:val="6BA349C6"/>
    <w:rsid w:val="753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乙酰COA</cp:lastModifiedBy>
  <dcterms:modified xsi:type="dcterms:W3CDTF">2019-11-13T13:14:24Z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