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小陪伴iPhone版自定义记账小助手需求分析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业务流程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1.1其业务流程主要包括以下：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授权微信账号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根据邮箱或手机号注册账号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完善个人资料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设置智能小助手的称呼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设置智能小助手的头像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设置智能小助手的角色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授予相册权限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选择分类进行记账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修改账单日期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与智能小助手聊天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根据标签查看收支统计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查看打卡数量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查看单词背诵进度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查看某一天收支的统计图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选择年、月、日查看对于的全部账单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1.2绘制图形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其中登录模块的流程图如下：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用户可以选择通过微信授权的方式直接登录，或者通过邮箱或者手机号注册新账号再登录。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4270" cy="3152775"/>
            <wp:effectExtent l="0" t="0" r="0" b="0"/>
            <wp:docPr id="1" name="图片 1" descr="登录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 (1)"/>
                    <pic:cNvPicPr>
                      <a:picLocks noChangeAspect="1"/>
                    </pic:cNvPicPr>
                  </pic:nvPicPr>
                  <pic:blipFill>
                    <a:blip r:embed="rId4"/>
                    <a:srcRect l="31516" t="31023" b="5849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登录模块流程图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2.业务需求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功能需求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软件主要有三大模块的功能：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账单：用户可以记录账单，修改账单，查看账单的统计图表，查看选定年月日的全部账单以及根据标签查看收支统计。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单词：用户可以背单词，查看自己的打卡数量以及查看单词的背诵进度。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智能小助手：用户可以设置智能小助手的角色、称呼和头像，并与智能小助手进行交谈。</w:t>
      </w:r>
    </w:p>
    <w:p>
      <w:pPr>
        <w:jc w:val="center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4549775" cy="4081780"/>
            <wp:effectExtent l="0" t="0" r="0" b="0"/>
            <wp:docPr id="4" name="图片 4" descr="功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功能 (1)"/>
                    <pic:cNvPicPr>
                      <a:picLocks noChangeAspect="1"/>
                    </pic:cNvPicPr>
                  </pic:nvPicPr>
                  <pic:blipFill>
                    <a:blip r:embed="rId5"/>
                    <a:srcRect l="13623" t="8313" b="408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基本功能框架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2性能的规定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精度：输入数据要求为double，输出数据类型也为double。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时间特性要求：响应时间、数据的转换和传送时间尽可能快。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3数据管理能力要求 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说明需要管理的文卷和记录的个数、表和文卷的大小规模，要按可预见的增长对数据及其分量的存储要求作出估算。 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4故障处理要求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出现数据紊乱或是服务器崩溃的情况，需要尽快修复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2.5需求建模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用例图：</w:t>
      </w:r>
    </w:p>
    <w:p>
      <w:pPr>
        <w:jc w:val="center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21605" cy="4691380"/>
            <wp:effectExtent l="0" t="0" r="10795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用例图</w:t>
      </w:r>
    </w:p>
    <w:p>
      <w:pPr>
        <w:jc w:val="center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参考文献：</w:t>
      </w:r>
    </w:p>
    <w:p>
      <w:pPr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1.https://g.pconline.com.cn/x/1279/12794105.html</w:t>
      </w:r>
    </w:p>
    <w:p>
      <w:pPr>
        <w:jc w:val="left"/>
        <w:rPr>
          <w:rFonts w:hint="default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——领航组 刘思逸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F5BB"/>
    <w:multiLevelType w:val="singleLevel"/>
    <w:tmpl w:val="1985F5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868E9"/>
    <w:rsid w:val="294868E9"/>
    <w:rsid w:val="72D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2019-10-11T08:44:00Z</dcterms:created>
  <dc:creator>刘思逸</dc:creator>
  <cp:lastModifiedBy>刘思逸</cp:lastModifiedBy>
  <dcterms:modified xsi:type="dcterms:W3CDTF">2019-10-11T12:25:25Z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