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详细设计报告编写注册登录、基础记账及收支显示测试用例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项目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详细设计报告编写基础记账及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基础记账</w:t>
      </w:r>
      <w:r>
        <w:rPr>
          <w:rFonts w:hint="eastAsia"/>
        </w:rPr>
        <w:t>模块测试用例</w:t>
      </w: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JCJZ-TJZD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JCJZ-SCZD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JCJZ-XGZD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提示修改账单成功，返回查看账单，账单已经被覆盖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提示错误，保留在当前界面，返回查看账单，账单不被修改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提示错误，保留在当前界面，返回查看账单，账单不被修改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提示添加账单成功，返回我的账单界面，并且有生成账单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JCJZ-CZZD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不选择搜索条件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基础记账</w:t>
      </w:r>
      <w:r>
        <w:rPr>
          <w:rFonts w:hint="eastAsia"/>
        </w:rPr>
        <w:t>模块测试用例</w:t>
      </w: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886" w:tblpY="1960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显示对应的统计图表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用户登录并且于收支统计界面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点击显示对应收支统计图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分别以饼图显示支出分类</w:t>
            </w:r>
          </w:p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以柱状图显示以日期（日月年）为对比的支出对比图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以折线图显示收支对比图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设置</w:t>
      </w:r>
      <w:r>
        <w:rPr>
          <w:rFonts w:hint="eastAsia"/>
        </w:rPr>
        <w:t>模块测试用例</w:t>
      </w: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SZ-JM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SYBZ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SZ-SYBZ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GYWM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SZ-GYWM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界面显示“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取消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TCDL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default"/>
                <w:sz w:val="18"/>
                <w:lang w:val="en-US"/>
              </w:rPr>
              <w:t>19</w:t>
            </w:r>
            <w:r>
              <w:rPr>
                <w:sz w:val="18"/>
              </w:rPr>
              <w:t>-11-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确定</w:t>
            </w: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8AA721F"/>
    <w:rsid w:val="0B1505C5"/>
    <w:rsid w:val="0BC8450C"/>
    <w:rsid w:val="11880461"/>
    <w:rsid w:val="161E244E"/>
    <w:rsid w:val="1C38302E"/>
    <w:rsid w:val="22AC238F"/>
    <w:rsid w:val="245A057E"/>
    <w:rsid w:val="2A297244"/>
    <w:rsid w:val="3EB14820"/>
    <w:rsid w:val="420E7A15"/>
    <w:rsid w:val="432D7E49"/>
    <w:rsid w:val="4E4D64C2"/>
    <w:rsid w:val="53E9638C"/>
    <w:rsid w:val="54EE4E1D"/>
    <w:rsid w:val="5C207127"/>
    <w:rsid w:val="61256578"/>
    <w:rsid w:val="617222E5"/>
    <w:rsid w:val="69A16AE3"/>
    <w:rsid w:val="6BA349C6"/>
    <w:rsid w:val="753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2019-11-23T02:09:49Z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