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Tally记账软件系统</w:t>
      </w:r>
    </w:p>
    <w:p>
      <w:pPr>
        <w:pStyle w:val="2"/>
        <w:bidi w:val="0"/>
        <w:jc w:val="center"/>
        <w:rPr>
          <w:rFonts w:hint="eastAsia"/>
          <w:lang w:val="en-US" w:eastAsia="zh-CN"/>
        </w:rPr>
      </w:pPr>
      <w:r>
        <w:rPr>
          <w:rFonts w:hint="eastAsia"/>
          <w:lang w:val="en-US" w:eastAsia="zh-CN"/>
        </w:rPr>
        <w:t>单元测试报告v4.0评审报告</w:t>
      </w:r>
    </w:p>
    <w:p>
      <w:pPr>
        <w:rPr>
          <w:rFonts w:hint="eastAsia"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团队名称：领航</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当前版本：v4.0</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检查人：徐月</w:t>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检查日期：2019/11/20</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评审种类：定期评审</w:t>
      </w: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提交内容：《Tally单元测试报告v4.0》</w:t>
      </w: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评审项与结论</w:t>
      </w:r>
    </w:p>
    <w:p>
      <w:pPr>
        <w:numPr>
          <w:ilvl w:val="0"/>
          <w:numId w:val="0"/>
        </w:numPr>
        <w:ind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1）要素：测试用例较少</w:t>
      </w:r>
    </w:p>
    <w:p>
      <w:pPr>
        <w:numPr>
          <w:ilvl w:val="0"/>
          <w:numId w:val="0"/>
        </w:numPr>
        <w:ind w:firstLine="840" w:firstLineChars="3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评审结果：测试用例数量较少</w:t>
      </w:r>
    </w:p>
    <w:p>
      <w:pPr>
        <w:numPr>
          <w:ilvl w:val="0"/>
          <w:numId w:val="0"/>
        </w:numPr>
        <w:ind w:firstLine="840" w:firstLineChars="3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问题和对策：针对前几版的报告来说测试用例数量明显增加，但是对于整个项目来说用例的数量还是比较少</w:t>
      </w:r>
    </w:p>
    <w:p>
      <w:pPr>
        <w:numPr>
          <w:ilvl w:val="0"/>
          <w:numId w:val="0"/>
        </w:numPr>
        <w:ind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2）要素：编号</w:t>
      </w:r>
    </w:p>
    <w:p>
      <w:pPr>
        <w:numPr>
          <w:ilvl w:val="0"/>
          <w:numId w:val="0"/>
        </w:numPr>
        <w:ind w:firstLine="840" w:firstLineChars="3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评审结果：测试用例缺少编号</w:t>
      </w:r>
    </w:p>
    <w:p>
      <w:pPr>
        <w:numPr>
          <w:ilvl w:val="0"/>
          <w:numId w:val="0"/>
        </w:numPr>
        <w:ind w:firstLine="840" w:firstLineChars="3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问题和对策：对于每个具体的用例应该添加具体的编号在后面测试的时候更加清晰明了</w:t>
      </w:r>
    </w:p>
    <w:p>
      <w:pPr>
        <w:numPr>
          <w:ilvl w:val="0"/>
          <w:numId w:val="0"/>
        </w:numPr>
        <w:ind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3）要素：测试用例覆盖面不全</w:t>
      </w:r>
    </w:p>
    <w:p>
      <w:pPr>
        <w:numPr>
          <w:ilvl w:val="0"/>
          <w:numId w:val="0"/>
        </w:numPr>
        <w:ind w:firstLine="840" w:firstLineChars="3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评审结果：测试用例的测试结果全都与预期结果一致</w:t>
      </w:r>
    </w:p>
    <w:p>
      <w:pPr>
        <w:numPr>
          <w:ilvl w:val="0"/>
          <w:numId w:val="0"/>
        </w:numPr>
        <w:ind w:firstLine="840" w:firstLineChars="3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问题和对策：测试用例的覆盖面不全面，没有找到有错误的地方，对于测试来说这不是一件好事，应该添加测试用例的覆盖面。</w:t>
      </w:r>
    </w:p>
    <w:p>
      <w:pPr>
        <w:numPr>
          <w:ilvl w:val="0"/>
          <w:numId w:val="2"/>
        </w:num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要素：测试结论</w:t>
      </w:r>
    </w:p>
    <w:p>
      <w:pPr>
        <w:numPr>
          <w:numId w:val="0"/>
        </w:numPr>
        <w:ind w:left="420" w:leftChars="0"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评审结果：测试结论与测试关系不大</w:t>
      </w:r>
    </w:p>
    <w:p>
      <w:pPr>
        <w:numPr>
          <w:numId w:val="0"/>
        </w:numPr>
        <w:ind w:left="420" w:leftChars="0"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问题和对策：结论应该是对于本次测试的一些结论和改进，而不是对于用户需求的概述。</w:t>
      </w:r>
    </w:p>
    <w:p>
      <w:pPr>
        <w:numPr>
          <w:ilvl w:val="0"/>
          <w:numId w:val="1"/>
        </w:numPr>
        <w:ind w:left="0" w:leftChars="0"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总结：</w:t>
      </w:r>
    </w:p>
    <w:p>
      <w:pPr>
        <w:numPr>
          <w:ilvl w:val="0"/>
          <w:numId w:val="0"/>
        </w:numPr>
        <w:ind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相比于v3.0添加了很多测试用例，但整体的测试用例覆盖范围还</w:t>
      </w:r>
      <w:bookmarkStart w:id="0" w:name="_GoBack"/>
      <w:bookmarkEnd w:id="0"/>
      <w:r>
        <w:rPr>
          <w:rFonts w:hint="eastAsia" w:ascii="微软雅黑" w:hAnsi="微软雅黑" w:eastAsia="微软雅黑" w:cs="微软雅黑"/>
          <w:sz w:val="28"/>
          <w:szCs w:val="28"/>
          <w:lang w:val="en-US" w:eastAsia="zh-CN"/>
        </w:rPr>
        <w:t>不是很全面。</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幼圆">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89932065"/>
      <w:docPartObj>
        <w:docPartGallery w:val="autotext"/>
      </w:docPartObj>
    </w:sdtPr>
    <w:sdtEndPr>
      <w:rPr>
        <w:rFonts w:ascii="Tahoma" w:hAnsi="Tahoma" w:cs="Tahoma"/>
        <w:b/>
        <w:i/>
        <w:color w:val="604A7B" w:themeColor="accent4" w:themeShade="BF"/>
      </w:rPr>
    </w:sdtEndPr>
    <w:sdtContent>
      <w:sdt>
        <w:sdtPr>
          <w:id w:val="171357283"/>
          <w:docPartObj>
            <w:docPartGallery w:val="autotext"/>
          </w:docPartObj>
        </w:sdtPr>
        <w:sdtEndPr>
          <w:rPr>
            <w:rFonts w:ascii="Tahoma" w:hAnsi="Tahoma" w:cs="Tahoma"/>
            <w:b/>
            <w:i/>
            <w:color w:val="604A7B" w:themeColor="accent4" w:themeShade="BF"/>
          </w:rPr>
        </w:sdtEndPr>
        <w:sdtContent>
          <w:p>
            <w:pPr>
              <w:pStyle w:val="4"/>
              <w:ind w:right="360"/>
              <w:rPr>
                <w:rFonts w:ascii="Tahoma" w:hAnsi="Tahoma" w:cs="Tahoma"/>
                <w:b/>
                <w:i/>
                <w:color w:val="604A7B" w:themeColor="accent4" w:themeShade="BF"/>
              </w:rPr>
            </w:pPr>
            <w:r>
              <w:rPr>
                <w:rFonts w:ascii="Tahoma" w:hAnsi="Tahoma" w:cs="Tahoma"/>
                <w:b/>
                <w:i/>
                <w:color w:val="604A7B" w:themeColor="accent4" w:themeShade="BF"/>
              </w:rPr>
              <w:t xml:space="preserve">领航2019                                                                         </w:t>
            </w:r>
            <w:r>
              <w:rPr>
                <w:rFonts w:ascii="Tahoma" w:hAnsi="Tahoma" w:cs="Tahoma"/>
                <w:b/>
                <w:i/>
                <w:color w:val="604A7B" w:themeColor="accent4" w:themeShade="BF"/>
                <w:sz w:val="24"/>
                <w:szCs w:val="24"/>
              </w:rPr>
              <w:fldChar w:fldCharType="begin"/>
            </w:r>
            <w:r>
              <w:rPr>
                <w:rFonts w:ascii="Tahoma" w:hAnsi="Tahoma" w:cs="Tahoma"/>
                <w:b/>
                <w:i/>
                <w:color w:val="604A7B" w:themeColor="accent4" w:themeShade="BF"/>
              </w:rPr>
              <w:instrText xml:space="preserve">PAGE</w:instrText>
            </w:r>
            <w:r>
              <w:rPr>
                <w:rFonts w:ascii="Tahoma" w:hAnsi="Tahoma" w:cs="Tahoma"/>
                <w:b/>
                <w:i/>
                <w:color w:val="604A7B" w:themeColor="accent4" w:themeShade="BF"/>
                <w:sz w:val="24"/>
                <w:szCs w:val="24"/>
              </w:rPr>
              <w:fldChar w:fldCharType="separate"/>
            </w:r>
            <w:r>
              <w:rPr>
                <w:rFonts w:ascii="Tahoma" w:hAnsi="Tahoma" w:cs="Tahoma"/>
                <w:b/>
                <w:i/>
                <w:color w:val="604A7B" w:themeColor="accent4" w:themeShade="BF"/>
              </w:rPr>
              <w:t>1</w:t>
            </w:r>
            <w:r>
              <w:rPr>
                <w:rFonts w:ascii="Tahoma" w:hAnsi="Tahoma" w:cs="Tahoma"/>
                <w:b/>
                <w:i/>
                <w:color w:val="604A7B" w:themeColor="accent4" w:themeShade="BF"/>
                <w:sz w:val="24"/>
                <w:szCs w:val="24"/>
              </w:rPr>
              <w:fldChar w:fldCharType="end"/>
            </w:r>
            <w:r>
              <w:rPr>
                <w:rFonts w:ascii="Tahoma" w:hAnsi="Tahoma" w:cs="Tahoma"/>
                <w:b/>
                <w:i/>
                <w:color w:val="604A7B" w:themeColor="accent4" w:themeShade="BF"/>
                <w:lang w:val="zh-CN"/>
              </w:rPr>
              <w:t xml:space="preserve"> / </w:t>
            </w:r>
            <w:r>
              <w:rPr>
                <w:rFonts w:ascii="Tahoma" w:hAnsi="Tahoma" w:cs="Tahoma"/>
                <w:b/>
                <w:i/>
                <w:color w:val="604A7B" w:themeColor="accent4" w:themeShade="BF"/>
                <w:sz w:val="24"/>
                <w:szCs w:val="24"/>
              </w:rPr>
              <w:fldChar w:fldCharType="begin"/>
            </w:r>
            <w:r>
              <w:rPr>
                <w:rFonts w:ascii="Tahoma" w:hAnsi="Tahoma" w:cs="Tahoma"/>
                <w:b/>
                <w:i/>
                <w:color w:val="604A7B" w:themeColor="accent4" w:themeShade="BF"/>
              </w:rPr>
              <w:instrText xml:space="preserve">NUMPAGES</w:instrText>
            </w:r>
            <w:r>
              <w:rPr>
                <w:rFonts w:ascii="Tahoma" w:hAnsi="Tahoma" w:cs="Tahoma"/>
                <w:b/>
                <w:i/>
                <w:color w:val="604A7B" w:themeColor="accent4" w:themeShade="BF"/>
                <w:sz w:val="24"/>
                <w:szCs w:val="24"/>
              </w:rPr>
              <w:fldChar w:fldCharType="separate"/>
            </w:r>
            <w:r>
              <w:rPr>
                <w:rFonts w:ascii="Tahoma" w:hAnsi="Tahoma" w:cs="Tahoma"/>
                <w:b/>
                <w:i/>
                <w:color w:val="604A7B" w:themeColor="accent4" w:themeShade="BF"/>
              </w:rPr>
              <w:t>2</w:t>
            </w:r>
            <w:r>
              <w:rPr>
                <w:rFonts w:ascii="Tahoma" w:hAnsi="Tahoma" w:cs="Tahoma"/>
                <w:b/>
                <w:i/>
                <w:color w:val="604A7B" w:themeColor="accent4" w:themeShade="BF"/>
                <w:sz w:val="24"/>
                <w:szCs w:val="24"/>
              </w:rPr>
              <w:fldChar w:fldCharType="end"/>
            </w:r>
            <w:r>
              <w:rPr>
                <w:rFonts w:hint="eastAsia" w:ascii="Tahoma" w:hAnsi="Tahoma" w:cs="Tahoma"/>
                <w:b/>
                <w:i/>
                <w:color w:val="604A7B" w:themeColor="accent4" w:themeShade="BF"/>
                <w:sz w:val="24"/>
                <w:szCs w:val="24"/>
              </w:rPr>
              <w:t xml:space="preserve">   </w:t>
            </w:r>
          </w:p>
        </w:sdtContent>
      </w:sdt>
    </w:sdtContent>
  </w:sdt>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ahoma" w:hAnsi="Tahoma" w:eastAsia="幼圆" w:cs="Tahoma"/>
        <w:b/>
        <w:i/>
        <w:color w:val="604A7B" w:themeColor="accent4" w:themeShade="BF"/>
      </w:rPr>
    </w:pPr>
  </w:p>
  <w:p>
    <w:pPr>
      <w:pStyle w:val="5"/>
      <w:rPr>
        <w:rFonts w:ascii="Tahoma" w:hAnsi="Tahoma" w:eastAsia="幼圆" w:cs="Tahoma"/>
        <w:b/>
        <w:i/>
        <w:color w:val="604A7B" w:themeColor="accent4" w:themeShade="BF"/>
      </w:rPr>
    </w:pPr>
    <w:r>
      <w:rPr>
        <w:rFonts w:ascii="Tahoma" w:hAnsi="Tahoma" w:eastAsia="幼圆" w:cs="Tahoma"/>
        <w:b/>
        <w:i/>
        <w:color w:val="604A7B" w:themeColor="accent4" w:themeShade="BF"/>
      </w:rPr>
      <w:t>TALLY记账软件项目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68D36"/>
    <w:multiLevelType w:val="singleLevel"/>
    <w:tmpl w:val="18668D36"/>
    <w:lvl w:ilvl="0" w:tentative="0">
      <w:start w:val="4"/>
      <w:numFmt w:val="decimal"/>
      <w:suff w:val="nothing"/>
      <w:lvlText w:val="%1）"/>
      <w:lvlJc w:val="left"/>
    </w:lvl>
  </w:abstractNum>
  <w:abstractNum w:abstractNumId="1">
    <w:nsid w:val="5FF30B35"/>
    <w:multiLevelType w:val="singleLevel"/>
    <w:tmpl w:val="5FF30B35"/>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C035A"/>
    <w:rsid w:val="00036A98"/>
    <w:rsid w:val="0014434F"/>
    <w:rsid w:val="002929F9"/>
    <w:rsid w:val="0037471B"/>
    <w:rsid w:val="0040591C"/>
    <w:rsid w:val="004E0432"/>
    <w:rsid w:val="00567715"/>
    <w:rsid w:val="006F45CF"/>
    <w:rsid w:val="0072571B"/>
    <w:rsid w:val="00B2699F"/>
    <w:rsid w:val="00DA0C05"/>
    <w:rsid w:val="00DE44B6"/>
    <w:rsid w:val="00E54672"/>
    <w:rsid w:val="00E5580D"/>
    <w:rsid w:val="00EB5211"/>
    <w:rsid w:val="00F932D8"/>
    <w:rsid w:val="1ABF6B79"/>
    <w:rsid w:val="24CD7A80"/>
    <w:rsid w:val="36093684"/>
    <w:rsid w:val="41B46F4C"/>
    <w:rsid w:val="5BBC035A"/>
    <w:rsid w:val="73C137FF"/>
    <w:rsid w:val="76D16393"/>
    <w:rsid w:val="7C503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页脚 Char"/>
    <w:basedOn w:val="7"/>
    <w:link w:val="4"/>
    <w:qFormat/>
    <w:uiPriority w:val="99"/>
    <w:rPr>
      <w:sz w:val="18"/>
      <w:szCs w:val="18"/>
    </w:rPr>
  </w:style>
  <w:style w:type="character" w:customStyle="1" w:styleId="10">
    <w:name w:val="批注框文本 Char"/>
    <w:basedOn w:val="7"/>
    <w:link w:val="3"/>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39033;&#30446;&#32508;&#21512;&#23454;&#36341;\word&#25991;&#26723;&#26684;&#24335;&#26679;&#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word文档格式样例.dotx</Template>
  <Pages>2</Pages>
  <Words>114</Words>
  <Characters>148</Characters>
  <Lines>1</Lines>
  <Paragraphs>1</Paragraphs>
  <TotalTime>36</TotalTime>
  <ScaleCrop>false</ScaleCrop>
  <LinksUpToDate>false</LinksUpToDate>
  <CharactersWithSpaces>156</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2019-11-12T15:22:00Z</dcterms:created>
  <dc:creator>峰峰封</dc:creator>
  <cp:lastModifiedBy>峰峰封</cp:lastModifiedBy>
  <dcterms:modified xsi:type="dcterms:W3CDTF">2019-11-20T14:55:55Z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