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PRUEBAS SELENIUM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Existencia y uso de Inicio Sesión (falla el registro) e Index.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612130" cy="28282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Evaluación de que los datos no hacen para el registro.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612130" cy="2838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Evaluación de que los datos al colocarlos correcto, el cliente inicia sesión.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612130" cy="28282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Evaluación de que los datos al colocarlos correcto, el cliente se registra.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612130" cy="284099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Existencia de contáctenos y pruebas de los formularios y que se envíen los mensajes bien.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612130" cy="28365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6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