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528FD"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0402.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3528FD"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3528FD"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528FD"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528FD"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3528FD"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528FD"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7949.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528FD"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Alexander Benölken</w:t>
            </w:r>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Patrick Wiebeler</w:t>
            </w:r>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3528FD">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3528FD">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3528FD">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3528FD">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528FD">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528FD">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3528FD"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w:t>
      </w:r>
      <w:bookmarkStart w:id="24" w:name="_GoBack"/>
      <w:bookmarkEnd w:id="24"/>
      <w:r w:rsidR="001E24F4">
        <w: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281B8B">
        <w:t>ein</w:t>
      </w:r>
      <w:r w:rsidR="00A81D65">
        <w:t xml:space="preserve"> beliebig</w:t>
      </w:r>
      <w:r w:rsidR="00281B8B">
        <w:t>es</w:t>
      </w:r>
      <w:r w:rsidR="001E24F4">
        <w:t xml:space="preserve"> Event </w:t>
      </w:r>
      <w:r w:rsidR="00456F78">
        <w:t xml:space="preserve">organisieren und </w:t>
      </w:r>
      <w:r w:rsidR="001E24F4">
        <w:t>veröffentlichen, folgende I</w:t>
      </w:r>
      <w:r w:rsidR="001E24F4">
        <w:t>n</w:t>
      </w:r>
      <w:r w:rsidR="001E24F4">
        <w:t>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automatische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6D72EE" w:rsidP="008011BF">
      <w:pPr>
        <w:pStyle w:val="Textkrper"/>
        <w:keepNext/>
      </w:pPr>
      <w:r>
        <w:rPr>
          <w:noProof/>
          <w:lang w:eastAsia="de-DE" w:bidi="ar-SA"/>
        </w:rPr>
        <w:drawing>
          <wp:inline distT="0" distB="0" distL="0" distR="0">
            <wp:extent cx="5761355" cy="5408381"/>
            <wp:effectExtent l="19050" t="0" r="0" b="0"/>
            <wp:docPr id="3" name="Bild 1"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Anwendungsfalldiagramm Benutzer und Eventfunktionen.png"/>
                    <pic:cNvPicPr>
                      <a:picLocks noChangeAspect="1" noChangeArrowheads="1"/>
                    </pic:cNvPicPr>
                  </pic:nvPicPr>
                  <pic:blipFill>
                    <a:blip r:embed="rId11" cstate="print"/>
                    <a:srcRect/>
                    <a:stretch>
                      <a:fillRect/>
                    </a:stretch>
                  </pic:blipFill>
                  <pic:spPr bwMode="auto">
                    <a:xfrm>
                      <a:off x="0" y="0"/>
                      <a:ext cx="5761355" cy="5408381"/>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3528FD">
        <w:fldChar w:fldCharType="begin"/>
      </w:r>
      <w:r w:rsidR="006B4AB2">
        <w:instrText xml:space="preserve"> SEQ Abbildung \* ARABIC </w:instrText>
      </w:r>
      <w:r w:rsidR="003528FD">
        <w:fldChar w:fldCharType="separate"/>
      </w:r>
      <w:r w:rsidR="00846D56">
        <w:rPr>
          <w:noProof/>
        </w:rPr>
        <w:t>1</w:t>
      </w:r>
      <w:r w:rsidR="003528FD">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3528FD"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3528FD"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regi</w:t>
      </w:r>
      <w:r w:rsidR="001B6454">
        <w:t>s</w:t>
      </w:r>
      <w:r w:rsidR="001B6454">
        <w:t xml:space="preserve">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3528FD">
      <w:pPr>
        <w:pStyle w:val="Verzeichnis1"/>
        <w:rPr>
          <w:b w:val="0"/>
          <w:bCs w:val="0"/>
          <w:caps w:val="0"/>
          <w:noProof/>
          <w:sz w:val="22"/>
          <w:szCs w:val="22"/>
          <w:lang w:eastAsia="de-DE" w:bidi="ar-SA"/>
        </w:rPr>
      </w:pPr>
      <w:r w:rsidRPr="003528FD">
        <w:fldChar w:fldCharType="begin"/>
      </w:r>
      <w:r w:rsidR="00AE69DA" w:rsidRPr="004D6C02">
        <w:instrText xml:space="preserve"> TOC \h \z \u \t "Anhang 1;1;Anhang 2;2;Anhang 3;3" </w:instrText>
      </w:r>
      <w:r w:rsidRPr="003528FD">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3528FD"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342" w:rsidRDefault="00065342">
      <w:r>
        <w:separator/>
      </w:r>
    </w:p>
  </w:endnote>
  <w:endnote w:type="continuationSeparator" w:id="0">
    <w:p w:rsidR="00065342" w:rsidRDefault="000653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CD4994" w:rsidRDefault="003351FC"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3528FD">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528FD">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281B8B">
      <w:rPr>
        <w:b/>
        <w:noProof/>
        <w:color w:val="FFFFFF" w:themeColor="background1"/>
      </w:rPr>
      <w:t>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B34539" w:rsidRDefault="003351F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CD4994" w:rsidRDefault="003351FC"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3528FD">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528FD">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342" w:rsidRDefault="00065342" w:rsidP="00354736">
      <w:pPr>
        <w:spacing w:after="60"/>
      </w:pPr>
      <w:r>
        <w:separator/>
      </w:r>
    </w:p>
  </w:footnote>
  <w:footnote w:type="continuationSeparator" w:id="0">
    <w:p w:rsidR="00065342" w:rsidRDefault="00065342" w:rsidP="001806A8">
      <w:pPr>
        <w:spacing w:after="0"/>
      </w:pPr>
      <w:r>
        <w:continuationSeparator/>
      </w:r>
    </w:p>
  </w:footnote>
  <w:footnote w:type="continuationNotice" w:id="1">
    <w:p w:rsidR="00065342" w:rsidRDefault="00065342">
      <w:pPr>
        <w:spacing w:after="0"/>
      </w:pPr>
    </w:p>
  </w:footnote>
  <w:footnote w:id="2">
    <w:p w:rsidR="003351FC" w:rsidRDefault="003351FC">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Default="003351F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3528FD">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3351FC" w:rsidRDefault="003351F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B34539" w:rsidRDefault="003351F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342"/>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B8B"/>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351FC"/>
    <w:rsid w:val="00340F5E"/>
    <w:rsid w:val="00342E62"/>
    <w:rsid w:val="00347A0E"/>
    <w:rsid w:val="003528FD"/>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C90"/>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2B12"/>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191"/>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97E79"/>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24CEBB-4CFC-4EE7-B943-DE742CC2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4897</Words>
  <Characters>30856</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80</cp:revision>
  <cp:lastPrinted>2012-04-30T16:10:00Z</cp:lastPrinted>
  <dcterms:created xsi:type="dcterms:W3CDTF">2012-03-24T09:52:00Z</dcterms:created>
  <dcterms:modified xsi:type="dcterms:W3CDTF">2012-05-11T17:26:00Z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