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8D8E" w14:textId="77777777" w:rsidR="00640B2D" w:rsidRPr="00F62F15" w:rsidRDefault="00000000">
      <w:pPr>
        <w:pStyle w:val="af3"/>
        <w:spacing w:after="120"/>
        <w:jc w:val="center"/>
        <w:rPr>
          <w:rFonts w:ascii="Times New Roman" w:hAnsi="Times New Roman"/>
        </w:rPr>
      </w:pPr>
      <w:r w:rsidRPr="00F62F15">
        <w:rPr>
          <w:rFonts w:ascii="Times New Roman" w:hAnsi="Times New Roman"/>
        </w:rPr>
        <w:t>Project Proposal</w:t>
      </w:r>
    </w:p>
    <w:p w14:paraId="16F27301" w14:textId="77777777" w:rsidR="00640B2D" w:rsidRPr="00CE13DE" w:rsidRDefault="00000000">
      <w:pPr>
        <w:pStyle w:val="af"/>
        <w:spacing w:after="320"/>
        <w:jc w:val="center"/>
        <w:rPr>
          <w:rFonts w:ascii="Times New Roman" w:hAnsi="Times New Roman"/>
          <w:i w:val="0"/>
          <w:iCs w:val="0"/>
        </w:rPr>
      </w:pPr>
      <w:proofErr w:type="spellStart"/>
      <w:r w:rsidRPr="00CE13DE">
        <w:rPr>
          <w:rFonts w:ascii="Times New Roman" w:hAnsi="Times New Roman"/>
          <w:i w:val="0"/>
          <w:iCs w:val="0"/>
          <w:color w:val="000000"/>
        </w:rPr>
        <w:t>JiKeDa</w:t>
      </w:r>
      <w:proofErr w:type="spellEnd"/>
      <w:r w:rsidRPr="00CE13DE">
        <w:rPr>
          <w:rFonts w:ascii="Times New Roman" w:hAnsi="Times New Roman"/>
          <w:i w:val="0"/>
          <w:iCs w:val="0"/>
          <w:color w:val="000000"/>
        </w:rPr>
        <w:t xml:space="preserve"> Cloud Native Campus Food Service Platform</w:t>
      </w:r>
    </w:p>
    <w:p w14:paraId="6E32AED9" w14:textId="77777777" w:rsidR="00640B2D" w:rsidRPr="00F62F15" w:rsidRDefault="00000000">
      <w:pPr>
        <w:pStyle w:val="1"/>
        <w:spacing w:before="160" w:after="80"/>
        <w:rPr>
          <w:rFonts w:ascii="Times New Roman" w:hAnsi="Times New Roman"/>
        </w:rPr>
      </w:pPr>
      <w:r w:rsidRPr="00F62F15">
        <w:rPr>
          <w:rFonts w:ascii="Times New Roman" w:hAnsi="Times New Roman"/>
        </w:rPr>
        <w:t>1 Project Title</w:t>
      </w:r>
    </w:p>
    <w:p w14:paraId="296AB198" w14:textId="77777777" w:rsidR="00640B2D" w:rsidRPr="00F62F15" w:rsidRDefault="00000000">
      <w:pPr>
        <w:spacing w:after="120"/>
        <w:rPr>
          <w:rFonts w:ascii="Times New Roman" w:hAnsi="Times New Roman"/>
        </w:rPr>
      </w:pPr>
      <w:proofErr w:type="spellStart"/>
      <w:r w:rsidRPr="00F62F15">
        <w:rPr>
          <w:rFonts w:ascii="Times New Roman" w:hAnsi="Times New Roman"/>
        </w:rPr>
        <w:t>JiKeDa</w:t>
      </w:r>
      <w:proofErr w:type="spellEnd"/>
      <w:r w:rsidRPr="00F62F15">
        <w:rPr>
          <w:rFonts w:ascii="Times New Roman" w:hAnsi="Times New Roman"/>
        </w:rPr>
        <w:t xml:space="preserve"> Cloud Native Campus Food Service Platform</w:t>
      </w:r>
    </w:p>
    <w:p w14:paraId="7D2BEA4F" w14:textId="77777777" w:rsidR="00640B2D" w:rsidRPr="00F62F15" w:rsidRDefault="00000000">
      <w:pPr>
        <w:pStyle w:val="1"/>
        <w:spacing w:before="160" w:after="80"/>
        <w:rPr>
          <w:rFonts w:ascii="Times New Roman" w:hAnsi="Times New Roman"/>
        </w:rPr>
      </w:pPr>
      <w:r w:rsidRPr="00F62F15">
        <w:rPr>
          <w:rFonts w:ascii="Times New Roman" w:hAnsi="Times New Roman"/>
        </w:rPr>
        <w:t>2 Project Sponsor</w:t>
      </w:r>
    </w:p>
    <w:p w14:paraId="18C8CD97" w14:textId="77777777" w:rsidR="00640B2D" w:rsidRPr="00F62F15" w:rsidRDefault="00000000">
      <w:pPr>
        <w:spacing w:after="120"/>
        <w:rPr>
          <w:rFonts w:ascii="Times New Roman" w:hAnsi="Times New Roman"/>
        </w:rPr>
      </w:pPr>
      <w:r w:rsidRPr="00F62F15">
        <w:rPr>
          <w:rFonts w:ascii="Times New Roman" w:hAnsi="Times New Roman"/>
        </w:rPr>
        <w:t>Not applicable. This is an academic practice project for the Graduate Certificate in Architecting Scalable Systems.</w:t>
      </w:r>
    </w:p>
    <w:p w14:paraId="6A83DB1E" w14:textId="77777777" w:rsidR="00640B2D" w:rsidRPr="00F62F15" w:rsidRDefault="00000000">
      <w:pPr>
        <w:pStyle w:val="1"/>
        <w:spacing w:before="160" w:after="80"/>
        <w:rPr>
          <w:rFonts w:ascii="Times New Roman" w:hAnsi="Times New Roman"/>
        </w:rPr>
      </w:pPr>
      <w:r w:rsidRPr="00F62F15">
        <w:rPr>
          <w:rFonts w:ascii="Times New Roman" w:hAnsi="Times New Roman"/>
        </w:rPr>
        <w:t>3 Project Members</w:t>
      </w:r>
    </w:p>
    <w:tbl>
      <w:tblPr>
        <w:tblStyle w:val="af5"/>
        <w:tblW w:w="0" w:type="auto"/>
        <w:jc w:val="center"/>
        <w:tblLayout w:type="fixed"/>
        <w:tblLook w:val="04A0" w:firstRow="1" w:lastRow="0" w:firstColumn="1" w:lastColumn="0" w:noHBand="0" w:noVBand="1"/>
      </w:tblPr>
      <w:tblGrid>
        <w:gridCol w:w="4824"/>
        <w:gridCol w:w="4824"/>
      </w:tblGrid>
      <w:tr w:rsidR="00640B2D" w:rsidRPr="00F62F15" w14:paraId="7B134B91" w14:textId="77777777">
        <w:trPr>
          <w:cantSplit/>
          <w:tblHeader/>
          <w:jc w:val="center"/>
        </w:trPr>
        <w:tc>
          <w:tcPr>
            <w:tcW w:w="4824" w:type="dxa"/>
            <w:shd w:val="clear" w:color="auto" w:fill="E2E2E2"/>
            <w:tcMar>
              <w:top w:w="90" w:type="dxa"/>
              <w:left w:w="100" w:type="dxa"/>
              <w:bottom w:w="90" w:type="dxa"/>
              <w:right w:w="100" w:type="dxa"/>
            </w:tcMar>
            <w:vAlign w:val="center"/>
          </w:tcPr>
          <w:p w14:paraId="5F79EFC1" w14:textId="77777777" w:rsidR="00640B2D" w:rsidRPr="00F62F15" w:rsidRDefault="00000000">
            <w:pPr>
              <w:spacing w:after="0"/>
              <w:rPr>
                <w:rFonts w:ascii="Times New Roman" w:hAnsi="Times New Roman"/>
              </w:rPr>
            </w:pPr>
            <w:r w:rsidRPr="00F62F15">
              <w:rPr>
                <w:rFonts w:ascii="Times New Roman" w:hAnsi="Times New Roman"/>
                <w:b/>
                <w:sz w:val="19"/>
              </w:rPr>
              <w:t>Name</w:t>
            </w:r>
          </w:p>
        </w:tc>
        <w:tc>
          <w:tcPr>
            <w:tcW w:w="4824" w:type="dxa"/>
            <w:shd w:val="clear" w:color="auto" w:fill="E2E2E2"/>
            <w:tcMar>
              <w:top w:w="90" w:type="dxa"/>
              <w:left w:w="100" w:type="dxa"/>
              <w:bottom w:w="90" w:type="dxa"/>
              <w:right w:w="100" w:type="dxa"/>
            </w:tcMar>
            <w:vAlign w:val="center"/>
          </w:tcPr>
          <w:p w14:paraId="63EFA17E" w14:textId="77777777" w:rsidR="00640B2D" w:rsidRPr="00F62F15" w:rsidRDefault="00000000">
            <w:pPr>
              <w:spacing w:after="0"/>
              <w:rPr>
                <w:rFonts w:ascii="Times New Roman" w:hAnsi="Times New Roman"/>
              </w:rPr>
            </w:pPr>
            <w:r w:rsidRPr="00F62F15">
              <w:rPr>
                <w:rFonts w:ascii="Times New Roman" w:hAnsi="Times New Roman"/>
                <w:b/>
                <w:sz w:val="19"/>
              </w:rPr>
              <w:t>Email</w:t>
            </w:r>
          </w:p>
        </w:tc>
      </w:tr>
      <w:tr w:rsidR="00640B2D" w:rsidRPr="00F62F15" w14:paraId="099D21D7" w14:textId="77777777">
        <w:trPr>
          <w:jc w:val="center"/>
        </w:trPr>
        <w:tc>
          <w:tcPr>
            <w:tcW w:w="4824" w:type="dxa"/>
          </w:tcPr>
          <w:p w14:paraId="2E46EFFD"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WANG QINYANG</w:t>
            </w:r>
          </w:p>
        </w:tc>
        <w:tc>
          <w:tcPr>
            <w:tcW w:w="4824" w:type="dxa"/>
          </w:tcPr>
          <w:p w14:paraId="72718F8E"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qinyang.wang@u.nus.edu</w:t>
            </w:r>
          </w:p>
        </w:tc>
      </w:tr>
      <w:tr w:rsidR="00640B2D" w:rsidRPr="00F62F15" w14:paraId="5AF3B1F4" w14:textId="77777777">
        <w:trPr>
          <w:jc w:val="center"/>
        </w:trPr>
        <w:tc>
          <w:tcPr>
            <w:tcW w:w="4824" w:type="dxa"/>
            <w:shd w:val="clear" w:color="auto" w:fill="F7F7F7"/>
          </w:tcPr>
          <w:p w14:paraId="6C27F445"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HAO MINGYANG</w:t>
            </w:r>
          </w:p>
        </w:tc>
        <w:tc>
          <w:tcPr>
            <w:tcW w:w="4824" w:type="dxa"/>
            <w:shd w:val="clear" w:color="auto" w:fill="F7F7F7"/>
          </w:tcPr>
          <w:p w14:paraId="53D2D9A0"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haomingyang@u.nus.edu</w:t>
            </w:r>
          </w:p>
        </w:tc>
      </w:tr>
      <w:tr w:rsidR="00640B2D" w:rsidRPr="00F62F15" w14:paraId="5C4B18C1" w14:textId="77777777">
        <w:trPr>
          <w:jc w:val="center"/>
        </w:trPr>
        <w:tc>
          <w:tcPr>
            <w:tcW w:w="4824" w:type="dxa"/>
          </w:tcPr>
          <w:p w14:paraId="51FECDE2"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ZHAO HAOTIAN</w:t>
            </w:r>
          </w:p>
        </w:tc>
        <w:tc>
          <w:tcPr>
            <w:tcW w:w="4824" w:type="dxa"/>
          </w:tcPr>
          <w:p w14:paraId="372D34B0"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haotian.zhao@u.nus.edu</w:t>
            </w:r>
          </w:p>
        </w:tc>
      </w:tr>
      <w:tr w:rsidR="00640B2D" w:rsidRPr="00F62F15" w14:paraId="54F44AE7" w14:textId="77777777">
        <w:trPr>
          <w:jc w:val="center"/>
        </w:trPr>
        <w:tc>
          <w:tcPr>
            <w:tcW w:w="4824" w:type="dxa"/>
            <w:shd w:val="clear" w:color="auto" w:fill="F7F7F7"/>
          </w:tcPr>
          <w:p w14:paraId="480195A1"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LIU TONGYU</w:t>
            </w:r>
          </w:p>
        </w:tc>
        <w:tc>
          <w:tcPr>
            <w:tcW w:w="4824" w:type="dxa"/>
            <w:shd w:val="clear" w:color="auto" w:fill="F7F7F7"/>
          </w:tcPr>
          <w:p w14:paraId="7FD62271"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tongyuliu@u.nus.edu</w:t>
            </w:r>
          </w:p>
        </w:tc>
      </w:tr>
      <w:tr w:rsidR="00640B2D" w:rsidRPr="00F62F15" w14:paraId="7B95C038" w14:textId="77777777">
        <w:trPr>
          <w:jc w:val="center"/>
        </w:trPr>
        <w:tc>
          <w:tcPr>
            <w:tcW w:w="4824" w:type="dxa"/>
          </w:tcPr>
          <w:p w14:paraId="3AEA5184"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TANG JINFAN</w:t>
            </w:r>
          </w:p>
        </w:tc>
        <w:tc>
          <w:tcPr>
            <w:tcW w:w="4824" w:type="dxa"/>
          </w:tcPr>
          <w:p w14:paraId="4A460760" w14:textId="77777777" w:rsidR="00640B2D" w:rsidRPr="00F62F15" w:rsidRDefault="00000000">
            <w:pPr>
              <w:spacing w:after="0" w:line="240" w:lineRule="auto"/>
              <w:rPr>
                <w:rFonts w:ascii="Times New Roman" w:hAnsi="Times New Roman"/>
              </w:rPr>
            </w:pPr>
            <w:r w:rsidRPr="00F62F15">
              <w:rPr>
                <w:rFonts w:ascii="Times New Roman" w:hAnsi="Times New Roman"/>
                <w:sz w:val="19"/>
              </w:rPr>
              <w:t>tang_jinfan@u.nus.edu</w:t>
            </w:r>
          </w:p>
        </w:tc>
      </w:tr>
    </w:tbl>
    <w:p w14:paraId="3AFC1616" w14:textId="77777777" w:rsidR="00640B2D" w:rsidRPr="00F62F15" w:rsidRDefault="00640B2D">
      <w:pPr>
        <w:spacing w:after="0"/>
        <w:rPr>
          <w:rFonts w:ascii="Times New Roman" w:hAnsi="Times New Roman"/>
        </w:rPr>
      </w:pPr>
    </w:p>
    <w:p w14:paraId="73E819A3" w14:textId="77777777" w:rsidR="00640B2D" w:rsidRPr="00F62F15" w:rsidRDefault="00000000">
      <w:pPr>
        <w:pStyle w:val="1"/>
        <w:spacing w:before="160" w:after="80"/>
        <w:rPr>
          <w:rFonts w:ascii="Times New Roman" w:hAnsi="Times New Roman"/>
        </w:rPr>
      </w:pPr>
      <w:r w:rsidRPr="00F62F15">
        <w:rPr>
          <w:rFonts w:ascii="Times New Roman" w:hAnsi="Times New Roman"/>
        </w:rPr>
        <w:t>4 Overview</w:t>
      </w:r>
    </w:p>
    <w:p w14:paraId="2A2C85A4" w14:textId="77777777" w:rsidR="00640B2D" w:rsidRPr="00F62F15" w:rsidRDefault="00000000">
      <w:pPr>
        <w:spacing w:after="120"/>
        <w:rPr>
          <w:rFonts w:ascii="Times New Roman" w:hAnsi="Times New Roman"/>
        </w:rPr>
      </w:pPr>
      <w:r w:rsidRPr="00F62F15">
        <w:rPr>
          <w:rFonts w:ascii="Times New Roman" w:hAnsi="Times New Roman"/>
        </w:rPr>
        <w:t>Campus food services involve customers, merchants, riders, and administrators who need consistent information about menus, prices, stock, orders, and delivery status. Separate operational processes can create conflicting stock values, missed delivery tasks, and order states that are difficult to trace.</w:t>
      </w:r>
    </w:p>
    <w:p w14:paraId="090FAF23" w14:textId="77777777" w:rsidR="00640B2D" w:rsidRPr="00F62F15" w:rsidRDefault="00000000">
      <w:pPr>
        <w:spacing w:after="120"/>
        <w:rPr>
          <w:rFonts w:ascii="Times New Roman" w:hAnsi="Times New Roman"/>
        </w:rPr>
      </w:pPr>
      <w:proofErr w:type="spellStart"/>
      <w:r w:rsidRPr="00F62F15">
        <w:rPr>
          <w:rFonts w:ascii="Times New Roman" w:hAnsi="Times New Roman"/>
        </w:rPr>
        <w:t>JiKeDa</w:t>
      </w:r>
      <w:proofErr w:type="spellEnd"/>
      <w:r w:rsidRPr="00F62F15">
        <w:rPr>
          <w:rFonts w:ascii="Times New Roman" w:hAnsi="Times New Roman"/>
        </w:rPr>
        <w:t xml:space="preserve"> will provide a cloud-based campus food ordering and delivery platform. The platform will expose documented APIs for identity, catalog, ordering, fulfilment, and delivery. Customers, merchants, riders, administrators, and a read-only campus menu display will access the same business capabilities according to their roles.</w:t>
      </w:r>
    </w:p>
    <w:p w14:paraId="39BE7AED" w14:textId="77777777" w:rsidR="00640B2D" w:rsidRPr="00F62F15" w:rsidRDefault="00000000">
      <w:pPr>
        <w:spacing w:after="120"/>
        <w:rPr>
          <w:rFonts w:ascii="Times New Roman" w:hAnsi="Times New Roman"/>
        </w:rPr>
      </w:pPr>
      <w:r w:rsidRPr="00F62F15">
        <w:rPr>
          <w:rFonts w:ascii="Times New Roman" w:hAnsi="Times New Roman"/>
        </w:rPr>
        <w:t xml:space="preserve">The system will use a </w:t>
      </w:r>
      <w:r w:rsidRPr="00CE13DE">
        <w:rPr>
          <w:rFonts w:ascii="Times New Roman" w:hAnsi="Times New Roman"/>
          <w:b/>
          <w:bCs/>
        </w:rPr>
        <w:t>microservice-oriented architecture</w:t>
      </w:r>
      <w:r w:rsidRPr="00F62F15">
        <w:rPr>
          <w:rFonts w:ascii="Times New Roman" w:hAnsi="Times New Roman"/>
        </w:rPr>
        <w:t>. Four services will own separate business capabilities and data, communicate through explicit API and event contracts, and deploy as separate containers. This structure allows the team to increase capacity only for the service under load and to demonstrate horizontal scaling with measurable evidence.</w:t>
      </w:r>
    </w:p>
    <w:p w14:paraId="5B7EAC30" w14:textId="77777777" w:rsidR="00640B2D" w:rsidRPr="00F62F15" w:rsidRDefault="00000000">
      <w:pPr>
        <w:spacing w:after="40"/>
        <w:rPr>
          <w:rFonts w:ascii="Times New Roman" w:hAnsi="Times New Roman"/>
        </w:rPr>
      </w:pPr>
      <w:r w:rsidRPr="00F62F15">
        <w:rPr>
          <w:rFonts w:ascii="Times New Roman" w:hAnsi="Times New Roman"/>
        </w:rPr>
        <w:t>The project objectives are to:</w:t>
      </w:r>
    </w:p>
    <w:p w14:paraId="25A0A254"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Deliver the complete campus ordering and delivery workflow for customer, merchant, rider, and administrator roles.</w:t>
      </w:r>
    </w:p>
    <w:p w14:paraId="1E8031C8"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Implement clear service boundaries with independent deployment, data ownership, and scaling policies.</w:t>
      </w:r>
    </w:p>
    <w:p w14:paraId="37028126"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Provide stable platform APIs that support the web application and a separate campus menu display.</w:t>
      </w:r>
    </w:p>
    <w:p w14:paraId="7621712F"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Deploy the platform on managed Azure services with automated build, testing, security checks, and release workflows.</w:t>
      </w:r>
    </w:p>
    <w:p w14:paraId="7C0004DE"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Demonstrate horizontal scale-out, resilience, and data consistency through repeatable tests and recorded results.</w:t>
      </w:r>
    </w:p>
    <w:p w14:paraId="27C7AEF6" w14:textId="77777777" w:rsidR="00640B2D" w:rsidRPr="00F62F15" w:rsidRDefault="00000000">
      <w:pPr>
        <w:pStyle w:val="1"/>
        <w:spacing w:before="160" w:after="80"/>
        <w:rPr>
          <w:rFonts w:ascii="Times New Roman" w:hAnsi="Times New Roman"/>
        </w:rPr>
      </w:pPr>
      <w:r w:rsidRPr="00F62F15">
        <w:rPr>
          <w:rFonts w:ascii="Times New Roman" w:hAnsi="Times New Roman"/>
        </w:rPr>
        <w:t>5 General Architecture</w:t>
      </w:r>
    </w:p>
    <w:p w14:paraId="328FE604" w14:textId="77777777" w:rsidR="00640B2D" w:rsidRPr="00F62F15" w:rsidRDefault="00000000">
      <w:pPr>
        <w:spacing w:after="120"/>
        <w:rPr>
          <w:rFonts w:ascii="Times New Roman" w:hAnsi="Times New Roman"/>
        </w:rPr>
      </w:pPr>
      <w:r w:rsidRPr="00F62F15">
        <w:rPr>
          <w:rFonts w:ascii="Times New Roman" w:hAnsi="Times New Roman"/>
        </w:rPr>
        <w:t>All client traffic will enter through a YARP-based API Gateway. The gateway will validate access tokens, apply routing and request limits, and forward each request to the responsible service. Identity, Catalog, Order, and Fulfilment and Delivery will run as independently deployable stateless containers in Azure Container Apps. Each service can scale without increasing replicas of the other services.</w:t>
      </w:r>
    </w:p>
    <w:p w14:paraId="5577E857" w14:textId="77777777" w:rsidR="00640B2D" w:rsidRPr="00F62F15" w:rsidRDefault="00000000">
      <w:pPr>
        <w:spacing w:after="120"/>
        <w:rPr>
          <w:rFonts w:ascii="Times New Roman" w:hAnsi="Times New Roman"/>
        </w:rPr>
      </w:pPr>
      <w:r w:rsidRPr="00F62F15">
        <w:rPr>
          <w:rFonts w:ascii="Times New Roman" w:hAnsi="Times New Roman"/>
        </w:rPr>
        <w:t xml:space="preserve">Services will use synchronous REST calls only when an immediate response is required. Azure Service Bus will carry order and delivery events so that downstream work can continue without holding the original request open. </w:t>
      </w:r>
      <w:r w:rsidRPr="00F62F15">
        <w:rPr>
          <w:rFonts w:ascii="Times New Roman" w:hAnsi="Times New Roman"/>
        </w:rPr>
        <w:lastRenderedPageBreak/>
        <w:t>Each service will own a separate logical PostgreSQL database or schema and separate credentials. A service will not query another service's tables or use a distributed database transaction.</w:t>
      </w:r>
    </w:p>
    <w:p w14:paraId="741936FB" w14:textId="77777777" w:rsidR="00640B2D" w:rsidRPr="00F62F15" w:rsidRDefault="00000000">
      <w:pPr>
        <w:pStyle w:val="2"/>
        <w:spacing w:before="120"/>
        <w:rPr>
          <w:rFonts w:ascii="Times New Roman" w:hAnsi="Times New Roman"/>
        </w:rPr>
      </w:pPr>
      <w:r w:rsidRPr="00F62F15">
        <w:rPr>
          <w:rFonts w:ascii="Times New Roman" w:hAnsi="Times New Roman"/>
        </w:rPr>
        <w:t>5 1 Logical Architecture</w:t>
      </w:r>
    </w:p>
    <w:tbl>
      <w:tblPr>
        <w:tblStyle w:val="af5"/>
        <w:tblW w:w="0" w:type="auto"/>
        <w:jc w:val="center"/>
        <w:tblLayout w:type="fixed"/>
        <w:tblLook w:val="04A0" w:firstRow="1" w:lastRow="0" w:firstColumn="1" w:lastColumn="0" w:noHBand="0" w:noVBand="1"/>
      </w:tblPr>
      <w:tblGrid>
        <w:gridCol w:w="1944"/>
        <w:gridCol w:w="2520"/>
        <w:gridCol w:w="5184"/>
      </w:tblGrid>
      <w:tr w:rsidR="00640B2D" w:rsidRPr="00F62F15" w14:paraId="5D5D3398" w14:textId="77777777">
        <w:trPr>
          <w:cantSplit/>
          <w:tblHeader/>
          <w:jc w:val="center"/>
        </w:trPr>
        <w:tc>
          <w:tcPr>
            <w:tcW w:w="1944" w:type="dxa"/>
            <w:shd w:val="clear" w:color="auto" w:fill="E2E2E2"/>
            <w:tcMar>
              <w:top w:w="90" w:type="dxa"/>
              <w:left w:w="100" w:type="dxa"/>
              <w:bottom w:w="90" w:type="dxa"/>
              <w:right w:w="100" w:type="dxa"/>
            </w:tcMar>
            <w:vAlign w:val="center"/>
          </w:tcPr>
          <w:p w14:paraId="065F322C" w14:textId="77777777" w:rsidR="00640B2D" w:rsidRPr="00F62F15" w:rsidRDefault="00000000">
            <w:pPr>
              <w:spacing w:after="0"/>
              <w:rPr>
                <w:rFonts w:ascii="Times New Roman" w:hAnsi="Times New Roman"/>
              </w:rPr>
            </w:pPr>
            <w:r w:rsidRPr="00F62F15">
              <w:rPr>
                <w:rFonts w:ascii="Times New Roman" w:hAnsi="Times New Roman"/>
                <w:b/>
                <w:sz w:val="17"/>
              </w:rPr>
              <w:t>Component</w:t>
            </w:r>
          </w:p>
        </w:tc>
        <w:tc>
          <w:tcPr>
            <w:tcW w:w="2520" w:type="dxa"/>
            <w:shd w:val="clear" w:color="auto" w:fill="E2E2E2"/>
            <w:tcMar>
              <w:top w:w="90" w:type="dxa"/>
              <w:left w:w="100" w:type="dxa"/>
              <w:bottom w:w="90" w:type="dxa"/>
              <w:right w:w="100" w:type="dxa"/>
            </w:tcMar>
            <w:vAlign w:val="center"/>
          </w:tcPr>
          <w:p w14:paraId="0D14868C" w14:textId="77777777" w:rsidR="00640B2D" w:rsidRPr="00F62F15" w:rsidRDefault="00000000">
            <w:pPr>
              <w:spacing w:after="0"/>
              <w:rPr>
                <w:rFonts w:ascii="Times New Roman" w:hAnsi="Times New Roman"/>
              </w:rPr>
            </w:pPr>
            <w:r w:rsidRPr="00F62F15">
              <w:rPr>
                <w:rFonts w:ascii="Times New Roman" w:hAnsi="Times New Roman"/>
                <w:b/>
                <w:sz w:val="17"/>
              </w:rPr>
              <w:t>Technology</w:t>
            </w:r>
          </w:p>
        </w:tc>
        <w:tc>
          <w:tcPr>
            <w:tcW w:w="5184" w:type="dxa"/>
            <w:shd w:val="clear" w:color="auto" w:fill="E2E2E2"/>
            <w:tcMar>
              <w:top w:w="90" w:type="dxa"/>
              <w:left w:w="100" w:type="dxa"/>
              <w:bottom w:w="90" w:type="dxa"/>
              <w:right w:w="100" w:type="dxa"/>
            </w:tcMar>
            <w:vAlign w:val="center"/>
          </w:tcPr>
          <w:p w14:paraId="677A640D" w14:textId="77777777" w:rsidR="00640B2D" w:rsidRPr="00F62F15" w:rsidRDefault="00000000">
            <w:pPr>
              <w:spacing w:after="0"/>
              <w:rPr>
                <w:rFonts w:ascii="Times New Roman" w:hAnsi="Times New Roman"/>
              </w:rPr>
            </w:pPr>
            <w:r w:rsidRPr="00F62F15">
              <w:rPr>
                <w:rFonts w:ascii="Times New Roman" w:hAnsi="Times New Roman"/>
                <w:b/>
                <w:sz w:val="17"/>
              </w:rPr>
              <w:t>Responsibility and Boundary</w:t>
            </w:r>
          </w:p>
        </w:tc>
      </w:tr>
      <w:tr w:rsidR="00640B2D" w:rsidRPr="00F62F15" w14:paraId="3F0B83FC" w14:textId="77777777">
        <w:trPr>
          <w:jc w:val="center"/>
        </w:trPr>
        <w:tc>
          <w:tcPr>
            <w:tcW w:w="1944" w:type="dxa"/>
          </w:tcPr>
          <w:p w14:paraId="5B912522"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Web applications</w:t>
            </w:r>
          </w:p>
        </w:tc>
        <w:tc>
          <w:tcPr>
            <w:tcW w:w="2520" w:type="dxa"/>
          </w:tcPr>
          <w:p w14:paraId="6A4A7E2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Vue 3</w:t>
            </w:r>
          </w:p>
        </w:tc>
        <w:tc>
          <w:tcPr>
            <w:tcW w:w="5184" w:type="dxa"/>
          </w:tcPr>
          <w:p w14:paraId="46D6F1E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Role-specific customer, merchant, rider, administrator, and campus menu interfaces</w:t>
            </w:r>
          </w:p>
        </w:tc>
      </w:tr>
      <w:tr w:rsidR="00640B2D" w:rsidRPr="00F62F15" w14:paraId="2751BFA3" w14:textId="77777777">
        <w:trPr>
          <w:jc w:val="center"/>
        </w:trPr>
        <w:tc>
          <w:tcPr>
            <w:tcW w:w="1944" w:type="dxa"/>
            <w:shd w:val="clear" w:color="auto" w:fill="F7F7F7"/>
          </w:tcPr>
          <w:p w14:paraId="37D33C8E"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API Gateway</w:t>
            </w:r>
          </w:p>
        </w:tc>
        <w:tc>
          <w:tcPr>
            <w:tcW w:w="2520" w:type="dxa"/>
            <w:shd w:val="clear" w:color="auto" w:fill="F7F7F7"/>
          </w:tcPr>
          <w:p w14:paraId="3DC6DD8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ASP.NET Core and YARP</w:t>
            </w:r>
          </w:p>
        </w:tc>
        <w:tc>
          <w:tcPr>
            <w:tcW w:w="5184" w:type="dxa"/>
            <w:shd w:val="clear" w:color="auto" w:fill="F7F7F7"/>
          </w:tcPr>
          <w:p w14:paraId="112DDBB1"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Single external API entry point, token validation, routing, rate limits, and correlation IDs</w:t>
            </w:r>
          </w:p>
        </w:tc>
      </w:tr>
      <w:tr w:rsidR="00640B2D" w:rsidRPr="00F62F15" w14:paraId="1D9AA726" w14:textId="77777777">
        <w:trPr>
          <w:jc w:val="center"/>
        </w:trPr>
        <w:tc>
          <w:tcPr>
            <w:tcW w:w="1944" w:type="dxa"/>
          </w:tcPr>
          <w:p w14:paraId="06319BBF"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Identity Service</w:t>
            </w:r>
          </w:p>
        </w:tc>
        <w:tc>
          <w:tcPr>
            <w:tcW w:w="2520" w:type="dxa"/>
          </w:tcPr>
          <w:p w14:paraId="3830A576"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ASP.NET Core REST API</w:t>
            </w:r>
          </w:p>
        </w:tc>
        <w:tc>
          <w:tcPr>
            <w:tcW w:w="5184" w:type="dxa"/>
          </w:tcPr>
          <w:p w14:paraId="3D4866C0"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Users, authentication, role assignments, profile data, and access-token issuance</w:t>
            </w:r>
          </w:p>
        </w:tc>
      </w:tr>
      <w:tr w:rsidR="00640B2D" w:rsidRPr="00F62F15" w14:paraId="73CB6E3D" w14:textId="77777777">
        <w:trPr>
          <w:jc w:val="center"/>
        </w:trPr>
        <w:tc>
          <w:tcPr>
            <w:tcW w:w="1944" w:type="dxa"/>
            <w:shd w:val="clear" w:color="auto" w:fill="F7F7F7"/>
          </w:tcPr>
          <w:p w14:paraId="510B16A6"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Catalog Service</w:t>
            </w:r>
          </w:p>
        </w:tc>
        <w:tc>
          <w:tcPr>
            <w:tcW w:w="2520" w:type="dxa"/>
            <w:shd w:val="clear" w:color="auto" w:fill="F7F7F7"/>
          </w:tcPr>
          <w:p w14:paraId="3170C0D6"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ASP.NET Core REST API</w:t>
            </w:r>
          </w:p>
        </w:tc>
        <w:tc>
          <w:tcPr>
            <w:tcW w:w="5184" w:type="dxa"/>
            <w:shd w:val="clear" w:color="auto" w:fill="F7F7F7"/>
          </w:tcPr>
          <w:p w14:paraId="4DA2A61C"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Merchants, menus, items, prices, promotions, availability, and inventory reservations</w:t>
            </w:r>
          </w:p>
        </w:tc>
      </w:tr>
      <w:tr w:rsidR="00640B2D" w:rsidRPr="00F62F15" w14:paraId="021325C8" w14:textId="77777777">
        <w:trPr>
          <w:jc w:val="center"/>
        </w:trPr>
        <w:tc>
          <w:tcPr>
            <w:tcW w:w="1944" w:type="dxa"/>
          </w:tcPr>
          <w:p w14:paraId="5E5113D8"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Order Service</w:t>
            </w:r>
          </w:p>
        </w:tc>
        <w:tc>
          <w:tcPr>
            <w:tcW w:w="2520" w:type="dxa"/>
          </w:tcPr>
          <w:p w14:paraId="67731EB5"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ASP.NET Core REST API</w:t>
            </w:r>
          </w:p>
        </w:tc>
        <w:tc>
          <w:tcPr>
            <w:tcW w:w="5184" w:type="dxa"/>
          </w:tcPr>
          <w:p w14:paraId="466DEC68"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Cart, checkout, discount validation, simulated payment status, order history, and order orchestration</w:t>
            </w:r>
          </w:p>
        </w:tc>
      </w:tr>
      <w:tr w:rsidR="00640B2D" w:rsidRPr="00F62F15" w14:paraId="3258BE06" w14:textId="77777777">
        <w:trPr>
          <w:jc w:val="center"/>
        </w:trPr>
        <w:tc>
          <w:tcPr>
            <w:tcW w:w="1944" w:type="dxa"/>
            <w:shd w:val="clear" w:color="auto" w:fill="F7F7F7"/>
          </w:tcPr>
          <w:p w14:paraId="339D0E86"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Fulfilment and Delivery Service</w:t>
            </w:r>
          </w:p>
        </w:tc>
        <w:tc>
          <w:tcPr>
            <w:tcW w:w="2520" w:type="dxa"/>
            <w:shd w:val="clear" w:color="auto" w:fill="F7F7F7"/>
          </w:tcPr>
          <w:p w14:paraId="2B42EC3F"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ASP.NET Core REST API and event consumer</w:t>
            </w:r>
          </w:p>
        </w:tc>
        <w:tc>
          <w:tcPr>
            <w:tcW w:w="5184" w:type="dxa"/>
            <w:shd w:val="clear" w:color="auto" w:fill="F7F7F7"/>
          </w:tcPr>
          <w:p w14:paraId="416DF4E5"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Merchant preparation, order readiness, rider eligibility, delivery assignment, tracking, and completion</w:t>
            </w:r>
          </w:p>
        </w:tc>
      </w:tr>
      <w:tr w:rsidR="00640B2D" w:rsidRPr="00F62F15" w14:paraId="3A829378" w14:textId="77777777">
        <w:trPr>
          <w:jc w:val="center"/>
        </w:trPr>
        <w:tc>
          <w:tcPr>
            <w:tcW w:w="1944" w:type="dxa"/>
          </w:tcPr>
          <w:p w14:paraId="117EB4F0"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Messaging</w:t>
            </w:r>
          </w:p>
        </w:tc>
        <w:tc>
          <w:tcPr>
            <w:tcW w:w="2520" w:type="dxa"/>
          </w:tcPr>
          <w:p w14:paraId="44F01CF9"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Azure Service Bus</w:t>
            </w:r>
          </w:p>
        </w:tc>
        <w:tc>
          <w:tcPr>
            <w:tcW w:w="5184" w:type="dxa"/>
          </w:tcPr>
          <w:p w14:paraId="4A9468B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Asynchronous domain events, buffered work, retry queues, and dead-letter handling</w:t>
            </w:r>
          </w:p>
        </w:tc>
      </w:tr>
      <w:tr w:rsidR="00640B2D" w:rsidRPr="00F62F15" w14:paraId="5DFBF459" w14:textId="77777777">
        <w:trPr>
          <w:jc w:val="center"/>
        </w:trPr>
        <w:tc>
          <w:tcPr>
            <w:tcW w:w="1944" w:type="dxa"/>
            <w:shd w:val="clear" w:color="auto" w:fill="F7F7F7"/>
          </w:tcPr>
          <w:p w14:paraId="3E602BA6"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Data</w:t>
            </w:r>
          </w:p>
        </w:tc>
        <w:tc>
          <w:tcPr>
            <w:tcW w:w="2520" w:type="dxa"/>
            <w:shd w:val="clear" w:color="auto" w:fill="F7F7F7"/>
          </w:tcPr>
          <w:p w14:paraId="0A775CF8"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Entity Framework Core and PostgreSQL</w:t>
            </w:r>
          </w:p>
        </w:tc>
        <w:tc>
          <w:tcPr>
            <w:tcW w:w="5184" w:type="dxa"/>
            <w:shd w:val="clear" w:color="auto" w:fill="F7F7F7"/>
          </w:tcPr>
          <w:p w14:paraId="20364B85"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Separate logical database or schema and credentials for each service</w:t>
            </w:r>
          </w:p>
        </w:tc>
      </w:tr>
      <w:tr w:rsidR="00640B2D" w:rsidRPr="00F62F15" w14:paraId="7B4414BC" w14:textId="77777777">
        <w:trPr>
          <w:jc w:val="center"/>
        </w:trPr>
        <w:tc>
          <w:tcPr>
            <w:tcW w:w="1944" w:type="dxa"/>
          </w:tcPr>
          <w:p w14:paraId="25D9DBA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Operations</w:t>
            </w:r>
          </w:p>
        </w:tc>
        <w:tc>
          <w:tcPr>
            <w:tcW w:w="2520" w:type="dxa"/>
          </w:tcPr>
          <w:p w14:paraId="31CCE0B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Application Insights and Log Analytics</w:t>
            </w:r>
          </w:p>
        </w:tc>
        <w:tc>
          <w:tcPr>
            <w:tcW w:w="5184" w:type="dxa"/>
          </w:tcPr>
          <w:p w14:paraId="1BD5FC7D"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Health, logs, traces, metrics, alert evidence, and service-specific scaling observations</w:t>
            </w:r>
          </w:p>
        </w:tc>
      </w:tr>
    </w:tbl>
    <w:p w14:paraId="7DDC5B84" w14:textId="77777777" w:rsidR="00640B2D" w:rsidRPr="00F62F15" w:rsidRDefault="00640B2D">
      <w:pPr>
        <w:spacing w:after="0"/>
        <w:rPr>
          <w:rFonts w:ascii="Times New Roman" w:hAnsi="Times New Roman"/>
        </w:rPr>
      </w:pPr>
    </w:p>
    <w:p w14:paraId="09AFD476" w14:textId="77777777" w:rsidR="00640B2D" w:rsidRPr="00F62F15" w:rsidRDefault="00000000">
      <w:pPr>
        <w:pStyle w:val="2"/>
        <w:spacing w:before="120"/>
        <w:rPr>
          <w:rFonts w:ascii="Times New Roman" w:hAnsi="Times New Roman"/>
        </w:rPr>
      </w:pPr>
      <w:r w:rsidRPr="00F62F15">
        <w:rPr>
          <w:rFonts w:ascii="Times New Roman" w:hAnsi="Times New Roman"/>
        </w:rPr>
        <w:t>5 2 Service Interaction</w:t>
      </w:r>
    </w:p>
    <w:p w14:paraId="39766FEF" w14:textId="77777777" w:rsidR="00640B2D" w:rsidRPr="00F62F15" w:rsidRDefault="00000000">
      <w:pPr>
        <w:spacing w:after="40"/>
        <w:rPr>
          <w:rFonts w:ascii="Times New Roman" w:hAnsi="Times New Roman"/>
        </w:rPr>
      </w:pPr>
      <w:r w:rsidRPr="00F62F15">
        <w:rPr>
          <w:rFonts w:ascii="Times New Roman" w:hAnsi="Times New Roman"/>
        </w:rPr>
        <w:t>The checkout and delivery path will demonstrate both request-response and event-driven integration:</w:t>
      </w:r>
    </w:p>
    <w:p w14:paraId="0FB0FF17" w14:textId="77777777" w:rsidR="00640B2D" w:rsidRPr="00F62F15" w:rsidRDefault="00000000">
      <w:pPr>
        <w:spacing w:after="40" w:line="247" w:lineRule="auto"/>
        <w:ind w:left="346" w:hanging="346"/>
        <w:rPr>
          <w:rFonts w:ascii="Times New Roman" w:hAnsi="Times New Roman"/>
        </w:rPr>
      </w:pPr>
      <w:r w:rsidRPr="00F62F15">
        <w:rPr>
          <w:rFonts w:ascii="Times New Roman" w:hAnsi="Times New Roman"/>
          <w:b/>
        </w:rPr>
        <w:t xml:space="preserve">1. </w:t>
      </w:r>
      <w:r w:rsidRPr="00F62F15">
        <w:rPr>
          <w:rFonts w:ascii="Times New Roman" w:hAnsi="Times New Roman"/>
        </w:rPr>
        <w:t>The client submits checkout through the API Gateway to the Order Service.</w:t>
      </w:r>
    </w:p>
    <w:p w14:paraId="1436D1FA" w14:textId="77777777" w:rsidR="00640B2D" w:rsidRPr="00F62F15" w:rsidRDefault="00000000">
      <w:pPr>
        <w:spacing w:after="40" w:line="247" w:lineRule="auto"/>
        <w:ind w:left="346" w:hanging="346"/>
        <w:rPr>
          <w:rFonts w:ascii="Times New Roman" w:hAnsi="Times New Roman"/>
        </w:rPr>
      </w:pPr>
      <w:r w:rsidRPr="00F62F15">
        <w:rPr>
          <w:rFonts w:ascii="Times New Roman" w:hAnsi="Times New Roman"/>
          <w:b/>
        </w:rPr>
        <w:t xml:space="preserve">2. </w:t>
      </w:r>
      <w:r w:rsidRPr="00F62F15">
        <w:rPr>
          <w:rFonts w:ascii="Times New Roman" w:hAnsi="Times New Roman"/>
        </w:rPr>
        <w:t>The Order Service requests an inventory reservation from the Catalog Service and records the order in its own database.</w:t>
      </w:r>
    </w:p>
    <w:p w14:paraId="16221547" w14:textId="77777777" w:rsidR="00640B2D" w:rsidRPr="00F62F15" w:rsidRDefault="00000000">
      <w:pPr>
        <w:spacing w:after="40" w:line="247" w:lineRule="auto"/>
        <w:ind w:left="346" w:hanging="346"/>
        <w:rPr>
          <w:rFonts w:ascii="Times New Roman" w:hAnsi="Times New Roman"/>
        </w:rPr>
      </w:pPr>
      <w:r w:rsidRPr="00F62F15">
        <w:rPr>
          <w:rFonts w:ascii="Times New Roman" w:hAnsi="Times New Roman"/>
          <w:b/>
        </w:rPr>
        <w:t xml:space="preserve">3. </w:t>
      </w:r>
      <w:r w:rsidRPr="00F62F15">
        <w:rPr>
          <w:rFonts w:ascii="Times New Roman" w:hAnsi="Times New Roman"/>
        </w:rPr>
        <w:t xml:space="preserve">After committing the order, the Order Service publishes an </w:t>
      </w:r>
      <w:proofErr w:type="spellStart"/>
      <w:r w:rsidRPr="00F62F15">
        <w:rPr>
          <w:rFonts w:ascii="Times New Roman" w:hAnsi="Times New Roman"/>
        </w:rPr>
        <w:t>OrderConfirmed</w:t>
      </w:r>
      <w:proofErr w:type="spellEnd"/>
      <w:r w:rsidRPr="00F62F15">
        <w:rPr>
          <w:rFonts w:ascii="Times New Roman" w:hAnsi="Times New Roman"/>
        </w:rPr>
        <w:t xml:space="preserve"> event through an outbox record and Azure Service Bus.</w:t>
      </w:r>
    </w:p>
    <w:p w14:paraId="3496F3C6" w14:textId="77777777" w:rsidR="00640B2D" w:rsidRPr="00F62F15" w:rsidRDefault="00000000">
      <w:pPr>
        <w:spacing w:after="40" w:line="247" w:lineRule="auto"/>
        <w:ind w:left="346" w:hanging="346"/>
        <w:rPr>
          <w:rFonts w:ascii="Times New Roman" w:hAnsi="Times New Roman"/>
        </w:rPr>
      </w:pPr>
      <w:r w:rsidRPr="00F62F15">
        <w:rPr>
          <w:rFonts w:ascii="Times New Roman" w:hAnsi="Times New Roman"/>
          <w:b/>
        </w:rPr>
        <w:t xml:space="preserve">4. </w:t>
      </w:r>
      <w:r w:rsidRPr="00F62F15">
        <w:rPr>
          <w:rFonts w:ascii="Times New Roman" w:hAnsi="Times New Roman"/>
        </w:rPr>
        <w:t xml:space="preserve">The Fulfilment and Delivery Service consumes the event, creates the preparation task, and later publishes </w:t>
      </w:r>
      <w:proofErr w:type="spellStart"/>
      <w:r w:rsidRPr="00F62F15">
        <w:rPr>
          <w:rFonts w:ascii="Times New Roman" w:hAnsi="Times New Roman"/>
        </w:rPr>
        <w:t>OrderReady</w:t>
      </w:r>
      <w:proofErr w:type="spellEnd"/>
      <w:r w:rsidRPr="00F62F15">
        <w:rPr>
          <w:rFonts w:ascii="Times New Roman" w:hAnsi="Times New Roman"/>
        </w:rPr>
        <w:t xml:space="preserve">, </w:t>
      </w:r>
      <w:proofErr w:type="spellStart"/>
      <w:r w:rsidRPr="00F62F15">
        <w:rPr>
          <w:rFonts w:ascii="Times New Roman" w:hAnsi="Times New Roman"/>
        </w:rPr>
        <w:t>DeliveryAssigned</w:t>
      </w:r>
      <w:proofErr w:type="spellEnd"/>
      <w:r w:rsidRPr="00F62F15">
        <w:rPr>
          <w:rFonts w:ascii="Times New Roman" w:hAnsi="Times New Roman"/>
        </w:rPr>
        <w:t xml:space="preserve">, and </w:t>
      </w:r>
      <w:proofErr w:type="spellStart"/>
      <w:r w:rsidRPr="00F62F15">
        <w:rPr>
          <w:rFonts w:ascii="Times New Roman" w:hAnsi="Times New Roman"/>
        </w:rPr>
        <w:t>OrderCompleted</w:t>
      </w:r>
      <w:proofErr w:type="spellEnd"/>
      <w:r w:rsidRPr="00F62F15">
        <w:rPr>
          <w:rFonts w:ascii="Times New Roman" w:hAnsi="Times New Roman"/>
        </w:rPr>
        <w:t xml:space="preserve"> events.</w:t>
      </w:r>
    </w:p>
    <w:p w14:paraId="1E12C880" w14:textId="77777777" w:rsidR="00640B2D" w:rsidRPr="00F62F15" w:rsidRDefault="00000000">
      <w:pPr>
        <w:spacing w:after="40" w:line="247" w:lineRule="auto"/>
        <w:ind w:left="346" w:hanging="346"/>
        <w:rPr>
          <w:rFonts w:ascii="Times New Roman" w:hAnsi="Times New Roman"/>
        </w:rPr>
      </w:pPr>
      <w:r w:rsidRPr="00F62F15">
        <w:rPr>
          <w:rFonts w:ascii="Times New Roman" w:hAnsi="Times New Roman"/>
          <w:b/>
        </w:rPr>
        <w:t xml:space="preserve">5. </w:t>
      </w:r>
      <w:r w:rsidRPr="00F62F15">
        <w:rPr>
          <w:rFonts w:ascii="Times New Roman" w:hAnsi="Times New Roman"/>
        </w:rPr>
        <w:t xml:space="preserve">Consumers process events idempotently. A failed reservation cancels checkout, while a later fulfilment failure triggers an </w:t>
      </w:r>
      <w:proofErr w:type="spellStart"/>
      <w:r w:rsidRPr="00F62F15">
        <w:rPr>
          <w:rFonts w:ascii="Times New Roman" w:hAnsi="Times New Roman"/>
        </w:rPr>
        <w:t>InventoryReleased</w:t>
      </w:r>
      <w:proofErr w:type="spellEnd"/>
      <w:r w:rsidRPr="00F62F15">
        <w:rPr>
          <w:rFonts w:ascii="Times New Roman" w:hAnsi="Times New Roman"/>
        </w:rPr>
        <w:t xml:space="preserve"> compensation event.</w:t>
      </w:r>
    </w:p>
    <w:p w14:paraId="51A29A9C" w14:textId="77777777" w:rsidR="00640B2D" w:rsidRPr="00F62F15" w:rsidRDefault="00000000">
      <w:pPr>
        <w:pStyle w:val="2"/>
        <w:spacing w:before="120"/>
        <w:rPr>
          <w:rFonts w:ascii="Times New Roman" w:hAnsi="Times New Roman"/>
        </w:rPr>
      </w:pPr>
      <w:r w:rsidRPr="00F62F15">
        <w:rPr>
          <w:rFonts w:ascii="Times New Roman" w:hAnsi="Times New Roman"/>
        </w:rPr>
        <w:t>5 3 Platform Ecosystem</w:t>
      </w:r>
    </w:p>
    <w:tbl>
      <w:tblPr>
        <w:tblStyle w:val="af5"/>
        <w:tblW w:w="0" w:type="auto"/>
        <w:jc w:val="center"/>
        <w:tblLayout w:type="fixed"/>
        <w:tblLook w:val="04A0" w:firstRow="1" w:lastRow="0" w:firstColumn="1" w:lastColumn="0" w:noHBand="0" w:noVBand="1"/>
      </w:tblPr>
      <w:tblGrid>
        <w:gridCol w:w="1800"/>
        <w:gridCol w:w="3600"/>
        <w:gridCol w:w="4248"/>
      </w:tblGrid>
      <w:tr w:rsidR="00640B2D" w:rsidRPr="00F62F15" w14:paraId="17454DB8" w14:textId="77777777">
        <w:trPr>
          <w:cantSplit/>
          <w:tblHeader/>
          <w:jc w:val="center"/>
        </w:trPr>
        <w:tc>
          <w:tcPr>
            <w:tcW w:w="1800" w:type="dxa"/>
            <w:shd w:val="clear" w:color="auto" w:fill="E2E2E2"/>
            <w:tcMar>
              <w:top w:w="90" w:type="dxa"/>
              <w:left w:w="100" w:type="dxa"/>
              <w:bottom w:w="90" w:type="dxa"/>
              <w:right w:w="100" w:type="dxa"/>
            </w:tcMar>
            <w:vAlign w:val="center"/>
          </w:tcPr>
          <w:p w14:paraId="661230C8" w14:textId="77777777" w:rsidR="00640B2D" w:rsidRPr="00F62F15" w:rsidRDefault="00000000">
            <w:pPr>
              <w:spacing w:after="0"/>
              <w:rPr>
                <w:rFonts w:ascii="Times New Roman" w:hAnsi="Times New Roman"/>
              </w:rPr>
            </w:pPr>
            <w:r w:rsidRPr="00F62F15">
              <w:rPr>
                <w:rFonts w:ascii="Times New Roman" w:hAnsi="Times New Roman"/>
                <w:b/>
                <w:sz w:val="17"/>
              </w:rPr>
              <w:t>Platform Role</w:t>
            </w:r>
          </w:p>
        </w:tc>
        <w:tc>
          <w:tcPr>
            <w:tcW w:w="3600" w:type="dxa"/>
            <w:shd w:val="clear" w:color="auto" w:fill="E2E2E2"/>
            <w:tcMar>
              <w:top w:w="90" w:type="dxa"/>
              <w:left w:w="100" w:type="dxa"/>
              <w:bottom w:w="90" w:type="dxa"/>
              <w:right w:w="100" w:type="dxa"/>
            </w:tcMar>
            <w:vAlign w:val="center"/>
          </w:tcPr>
          <w:p w14:paraId="62E647E3" w14:textId="77777777" w:rsidR="00640B2D" w:rsidRPr="00F62F15" w:rsidRDefault="00000000">
            <w:pPr>
              <w:spacing w:after="0"/>
              <w:rPr>
                <w:rFonts w:ascii="Times New Roman" w:hAnsi="Times New Roman"/>
              </w:rPr>
            </w:pPr>
            <w:r w:rsidRPr="00F62F15">
              <w:rPr>
                <w:rFonts w:ascii="Times New Roman" w:hAnsi="Times New Roman"/>
                <w:b/>
                <w:sz w:val="17"/>
              </w:rPr>
              <w:t>Participants and Components</w:t>
            </w:r>
          </w:p>
        </w:tc>
        <w:tc>
          <w:tcPr>
            <w:tcW w:w="4248" w:type="dxa"/>
            <w:shd w:val="clear" w:color="auto" w:fill="E2E2E2"/>
            <w:tcMar>
              <w:top w:w="90" w:type="dxa"/>
              <w:left w:w="100" w:type="dxa"/>
              <w:bottom w:w="90" w:type="dxa"/>
              <w:right w:w="100" w:type="dxa"/>
            </w:tcMar>
            <w:vAlign w:val="center"/>
          </w:tcPr>
          <w:p w14:paraId="3760CA7F" w14:textId="77777777" w:rsidR="00640B2D" w:rsidRPr="00F62F15" w:rsidRDefault="00000000">
            <w:pPr>
              <w:spacing w:after="0"/>
              <w:rPr>
                <w:rFonts w:ascii="Times New Roman" w:hAnsi="Times New Roman"/>
              </w:rPr>
            </w:pPr>
            <w:r w:rsidRPr="00F62F15">
              <w:rPr>
                <w:rFonts w:ascii="Times New Roman" w:hAnsi="Times New Roman"/>
                <w:b/>
                <w:sz w:val="17"/>
              </w:rPr>
              <w:t>Interaction</w:t>
            </w:r>
          </w:p>
        </w:tc>
      </w:tr>
      <w:tr w:rsidR="00640B2D" w:rsidRPr="00F62F15" w14:paraId="4827C1C5" w14:textId="77777777">
        <w:trPr>
          <w:jc w:val="center"/>
        </w:trPr>
        <w:tc>
          <w:tcPr>
            <w:tcW w:w="1800" w:type="dxa"/>
          </w:tcPr>
          <w:p w14:paraId="58C34EAE"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Seed</w:t>
            </w:r>
          </w:p>
        </w:tc>
        <w:tc>
          <w:tcPr>
            <w:tcW w:w="3600" w:type="dxa"/>
          </w:tcPr>
          <w:p w14:paraId="57AE43F3"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Identity, Catalog, Order, and Fulfilment and Delivery services</w:t>
            </w:r>
          </w:p>
        </w:tc>
        <w:tc>
          <w:tcPr>
            <w:tcW w:w="4248" w:type="dxa"/>
          </w:tcPr>
          <w:p w14:paraId="537199D7"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Provide the common business rules, APIs, events, and operational controls</w:t>
            </w:r>
          </w:p>
        </w:tc>
      </w:tr>
      <w:tr w:rsidR="00640B2D" w:rsidRPr="00F62F15" w14:paraId="490C265E" w14:textId="77777777">
        <w:trPr>
          <w:jc w:val="center"/>
        </w:trPr>
        <w:tc>
          <w:tcPr>
            <w:tcW w:w="1800" w:type="dxa"/>
            <w:shd w:val="clear" w:color="auto" w:fill="F7F7F7"/>
          </w:tcPr>
          <w:p w14:paraId="3841754A"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Producers</w:t>
            </w:r>
          </w:p>
        </w:tc>
        <w:tc>
          <w:tcPr>
            <w:tcW w:w="3600" w:type="dxa"/>
            <w:shd w:val="clear" w:color="auto" w:fill="F7F7F7"/>
          </w:tcPr>
          <w:p w14:paraId="423D5FBD"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Campus merchants and platform administrators</w:t>
            </w:r>
          </w:p>
        </w:tc>
        <w:tc>
          <w:tcPr>
            <w:tcW w:w="4248" w:type="dxa"/>
            <w:shd w:val="clear" w:color="auto" w:fill="F7F7F7"/>
          </w:tcPr>
          <w:p w14:paraId="478EB6EB"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Publish merchants, menus, prices, stock, promotions, availability, and operational configuration</w:t>
            </w:r>
          </w:p>
        </w:tc>
      </w:tr>
      <w:tr w:rsidR="00640B2D" w:rsidRPr="00F62F15" w14:paraId="2DE52E1D" w14:textId="77777777">
        <w:trPr>
          <w:jc w:val="center"/>
        </w:trPr>
        <w:tc>
          <w:tcPr>
            <w:tcW w:w="1800" w:type="dxa"/>
          </w:tcPr>
          <w:p w14:paraId="7228CB8C"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Consumers</w:t>
            </w:r>
          </w:p>
        </w:tc>
        <w:tc>
          <w:tcPr>
            <w:tcW w:w="3600" w:type="dxa"/>
          </w:tcPr>
          <w:p w14:paraId="2215AD2D"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Customers, riders, administrators, and campus menu displays</w:t>
            </w:r>
          </w:p>
        </w:tc>
        <w:tc>
          <w:tcPr>
            <w:tcW w:w="4248" w:type="dxa"/>
          </w:tcPr>
          <w:p w14:paraId="34A15FCE"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Browse catalog data, place and track orders, complete delivery tasks, or display current offerings</w:t>
            </w:r>
          </w:p>
        </w:tc>
      </w:tr>
      <w:tr w:rsidR="00640B2D" w:rsidRPr="00F62F15" w14:paraId="27E45C26" w14:textId="77777777">
        <w:trPr>
          <w:jc w:val="center"/>
        </w:trPr>
        <w:tc>
          <w:tcPr>
            <w:tcW w:w="1800" w:type="dxa"/>
            <w:shd w:val="clear" w:color="auto" w:fill="F7F7F7"/>
          </w:tcPr>
          <w:p w14:paraId="4C26E4ED"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Platform operators</w:t>
            </w:r>
          </w:p>
        </w:tc>
        <w:tc>
          <w:tcPr>
            <w:tcW w:w="3600" w:type="dxa"/>
            <w:shd w:val="clear" w:color="auto" w:fill="F7F7F7"/>
          </w:tcPr>
          <w:p w14:paraId="0B294280"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Development and operations team</w:t>
            </w:r>
          </w:p>
        </w:tc>
        <w:tc>
          <w:tcPr>
            <w:tcW w:w="4248" w:type="dxa"/>
            <w:shd w:val="clear" w:color="auto" w:fill="F7F7F7"/>
          </w:tcPr>
          <w:p w14:paraId="48E8D947"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Provision resources, operate delivery pipelines, observe each service, and manage releases</w:t>
            </w:r>
          </w:p>
        </w:tc>
      </w:tr>
    </w:tbl>
    <w:p w14:paraId="7EAFF218" w14:textId="77777777" w:rsidR="00640B2D" w:rsidRPr="00F62F15" w:rsidRDefault="00640B2D">
      <w:pPr>
        <w:spacing w:after="0"/>
        <w:rPr>
          <w:rFonts w:ascii="Times New Roman" w:hAnsi="Times New Roman"/>
        </w:rPr>
      </w:pPr>
    </w:p>
    <w:p w14:paraId="3EE7902F" w14:textId="77777777" w:rsidR="00640B2D" w:rsidRPr="00F62F15" w:rsidRDefault="00000000">
      <w:pPr>
        <w:pStyle w:val="2"/>
        <w:spacing w:before="120"/>
        <w:rPr>
          <w:rFonts w:ascii="Times New Roman" w:hAnsi="Times New Roman"/>
        </w:rPr>
      </w:pPr>
      <w:r w:rsidRPr="00F62F15">
        <w:rPr>
          <w:rFonts w:ascii="Times New Roman" w:hAnsi="Times New Roman"/>
        </w:rPr>
        <w:t>5 4 Physical Architecture</w:t>
      </w:r>
    </w:p>
    <w:p w14:paraId="54933284" w14:textId="77777777" w:rsidR="00640B2D" w:rsidRPr="00F62F15" w:rsidRDefault="00000000">
      <w:pPr>
        <w:spacing w:after="120"/>
        <w:rPr>
          <w:rFonts w:ascii="Times New Roman" w:hAnsi="Times New Roman"/>
        </w:rPr>
      </w:pPr>
      <w:r w:rsidRPr="00F62F15">
        <w:rPr>
          <w:rFonts w:ascii="Times New Roman" w:hAnsi="Times New Roman"/>
        </w:rPr>
        <w:t>The staging environment will run on Microsoft Azure. Azure Static Web Apps will host the Vue application. The API Gateway and four services will run as separate container applications in one Azure Container Apps environment. Azure Container Registry will store versioned images, and managed HTTPS ingress will expose only the gateway.</w:t>
      </w:r>
    </w:p>
    <w:p w14:paraId="2E05CAD2" w14:textId="77777777" w:rsidR="00640B2D" w:rsidRPr="00F62F15" w:rsidRDefault="00000000">
      <w:pPr>
        <w:spacing w:after="120"/>
        <w:rPr>
          <w:rFonts w:ascii="Times New Roman" w:hAnsi="Times New Roman"/>
        </w:rPr>
      </w:pPr>
      <w:r w:rsidRPr="00F62F15">
        <w:rPr>
          <w:rFonts w:ascii="Times New Roman" w:hAnsi="Times New Roman"/>
        </w:rPr>
        <w:t xml:space="preserve">Azure Database for PostgreSQL will host separate logical databases or schemas for the four services to reduce project cost while preserving ownership boundaries. Azure Service Bus will provide topics or queues for domain </w:t>
      </w:r>
      <w:r w:rsidRPr="00F62F15">
        <w:rPr>
          <w:rFonts w:ascii="Times New Roman" w:hAnsi="Times New Roman"/>
        </w:rPr>
        <w:lastRenderedPageBreak/>
        <w:t>events. Application Insights and Log Analytics will collect correlated traces, request metrics, dependency failures, message backlog, and replica counts.</w:t>
      </w:r>
    </w:p>
    <w:p w14:paraId="2F429E1A" w14:textId="77777777" w:rsidR="00640B2D" w:rsidRPr="00F62F15" w:rsidRDefault="00000000">
      <w:pPr>
        <w:spacing w:after="120"/>
        <w:rPr>
          <w:rFonts w:ascii="Times New Roman" w:hAnsi="Times New Roman"/>
        </w:rPr>
      </w:pPr>
      <w:r w:rsidRPr="00F62F15">
        <w:rPr>
          <w:rFonts w:ascii="Times New Roman" w:hAnsi="Times New Roman"/>
        </w:rPr>
        <w:t>GitHub Actions will build and test only the services affected by a change, publish versioned images, deploy the selected revisions, and run service health checks and end-to-end smoke tests. Bicep templates will define the main staging resources. Secrets will be supplied through protected deployment settings and will not be stored in source control.</w:t>
      </w:r>
    </w:p>
    <w:p w14:paraId="29B80DAF" w14:textId="77777777" w:rsidR="00640B2D" w:rsidRPr="00F62F15" w:rsidRDefault="00000000">
      <w:pPr>
        <w:pStyle w:val="1"/>
        <w:spacing w:before="160" w:after="80"/>
        <w:rPr>
          <w:rFonts w:ascii="Times New Roman" w:hAnsi="Times New Roman"/>
        </w:rPr>
      </w:pPr>
      <w:r w:rsidRPr="00F62F15">
        <w:rPr>
          <w:rFonts w:ascii="Times New Roman" w:hAnsi="Times New Roman"/>
        </w:rPr>
        <w:t>6 Scope of Work</w:t>
      </w:r>
    </w:p>
    <w:p w14:paraId="14F1BBEF" w14:textId="77777777" w:rsidR="00640B2D" w:rsidRPr="00F62F15" w:rsidRDefault="00000000">
      <w:pPr>
        <w:pStyle w:val="2"/>
        <w:spacing w:before="120"/>
        <w:rPr>
          <w:rFonts w:ascii="Times New Roman" w:hAnsi="Times New Roman"/>
        </w:rPr>
      </w:pPr>
      <w:r w:rsidRPr="00F62F15">
        <w:rPr>
          <w:rFonts w:ascii="Times New Roman" w:hAnsi="Times New Roman"/>
        </w:rPr>
        <w:t>6 1 Service Capabilities</w:t>
      </w:r>
    </w:p>
    <w:tbl>
      <w:tblPr>
        <w:tblStyle w:val="af5"/>
        <w:tblW w:w="0" w:type="auto"/>
        <w:jc w:val="center"/>
        <w:tblLayout w:type="fixed"/>
        <w:tblLook w:val="04A0" w:firstRow="1" w:lastRow="0" w:firstColumn="1" w:lastColumn="0" w:noHBand="0" w:noVBand="1"/>
      </w:tblPr>
      <w:tblGrid>
        <w:gridCol w:w="1944"/>
        <w:gridCol w:w="5544"/>
        <w:gridCol w:w="2160"/>
      </w:tblGrid>
      <w:tr w:rsidR="00640B2D" w:rsidRPr="00F62F15" w14:paraId="0301C210" w14:textId="77777777">
        <w:trPr>
          <w:cantSplit/>
          <w:tblHeader/>
          <w:jc w:val="center"/>
        </w:trPr>
        <w:tc>
          <w:tcPr>
            <w:tcW w:w="1944" w:type="dxa"/>
            <w:shd w:val="clear" w:color="auto" w:fill="E2E2E2"/>
            <w:tcMar>
              <w:top w:w="90" w:type="dxa"/>
              <w:left w:w="100" w:type="dxa"/>
              <w:bottom w:w="90" w:type="dxa"/>
              <w:right w:w="100" w:type="dxa"/>
            </w:tcMar>
            <w:vAlign w:val="center"/>
          </w:tcPr>
          <w:p w14:paraId="18C36CA2" w14:textId="77777777" w:rsidR="00640B2D" w:rsidRPr="00F62F15" w:rsidRDefault="00000000">
            <w:pPr>
              <w:spacing w:after="0"/>
              <w:rPr>
                <w:rFonts w:ascii="Times New Roman" w:hAnsi="Times New Roman"/>
              </w:rPr>
            </w:pPr>
            <w:r w:rsidRPr="00F62F15">
              <w:rPr>
                <w:rFonts w:ascii="Times New Roman" w:hAnsi="Times New Roman"/>
                <w:b/>
                <w:sz w:val="17"/>
              </w:rPr>
              <w:t>Service</w:t>
            </w:r>
          </w:p>
        </w:tc>
        <w:tc>
          <w:tcPr>
            <w:tcW w:w="5544" w:type="dxa"/>
            <w:shd w:val="clear" w:color="auto" w:fill="E2E2E2"/>
            <w:tcMar>
              <w:top w:w="90" w:type="dxa"/>
              <w:left w:w="100" w:type="dxa"/>
              <w:bottom w:w="90" w:type="dxa"/>
              <w:right w:w="100" w:type="dxa"/>
            </w:tcMar>
            <w:vAlign w:val="center"/>
          </w:tcPr>
          <w:p w14:paraId="1C2B4E28" w14:textId="77777777" w:rsidR="00640B2D" w:rsidRPr="00F62F15" w:rsidRDefault="00000000">
            <w:pPr>
              <w:spacing w:after="0"/>
              <w:rPr>
                <w:rFonts w:ascii="Times New Roman" w:hAnsi="Times New Roman"/>
              </w:rPr>
            </w:pPr>
            <w:r w:rsidRPr="00F62F15">
              <w:rPr>
                <w:rFonts w:ascii="Times New Roman" w:hAnsi="Times New Roman"/>
                <w:b/>
                <w:sz w:val="17"/>
              </w:rPr>
              <w:t>Included Work</w:t>
            </w:r>
          </w:p>
        </w:tc>
        <w:tc>
          <w:tcPr>
            <w:tcW w:w="2160" w:type="dxa"/>
            <w:shd w:val="clear" w:color="auto" w:fill="E2E2E2"/>
            <w:tcMar>
              <w:top w:w="90" w:type="dxa"/>
              <w:left w:w="100" w:type="dxa"/>
              <w:bottom w:w="90" w:type="dxa"/>
              <w:right w:w="100" w:type="dxa"/>
            </w:tcMar>
            <w:vAlign w:val="center"/>
          </w:tcPr>
          <w:p w14:paraId="44621D10" w14:textId="77777777" w:rsidR="00640B2D" w:rsidRPr="00F62F15" w:rsidRDefault="00000000">
            <w:pPr>
              <w:spacing w:after="0"/>
              <w:rPr>
                <w:rFonts w:ascii="Times New Roman" w:hAnsi="Times New Roman"/>
              </w:rPr>
            </w:pPr>
            <w:r w:rsidRPr="00F62F15">
              <w:rPr>
                <w:rFonts w:ascii="Times New Roman" w:hAnsi="Times New Roman"/>
                <w:b/>
                <w:sz w:val="17"/>
              </w:rPr>
              <w:t>Primary Scaling Signal</w:t>
            </w:r>
          </w:p>
        </w:tc>
      </w:tr>
      <w:tr w:rsidR="00640B2D" w:rsidRPr="00F62F15" w14:paraId="190CBFDE" w14:textId="77777777">
        <w:trPr>
          <w:jc w:val="center"/>
        </w:trPr>
        <w:tc>
          <w:tcPr>
            <w:tcW w:w="1944" w:type="dxa"/>
          </w:tcPr>
          <w:p w14:paraId="757E8BB8"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Identity</w:t>
            </w:r>
          </w:p>
        </w:tc>
        <w:tc>
          <w:tcPr>
            <w:tcW w:w="5544" w:type="dxa"/>
          </w:tcPr>
          <w:p w14:paraId="12C2FC9F"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JWT authentication, password hashing, customer, merchant, rider, and administrator roles, and profile management</w:t>
            </w:r>
          </w:p>
        </w:tc>
        <w:tc>
          <w:tcPr>
            <w:tcW w:w="2160" w:type="dxa"/>
          </w:tcPr>
          <w:p w14:paraId="5D622405"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HTTP concurrency and CPU</w:t>
            </w:r>
          </w:p>
        </w:tc>
      </w:tr>
      <w:tr w:rsidR="00640B2D" w:rsidRPr="00F62F15" w14:paraId="41391B85" w14:textId="77777777">
        <w:trPr>
          <w:jc w:val="center"/>
        </w:trPr>
        <w:tc>
          <w:tcPr>
            <w:tcW w:w="1944" w:type="dxa"/>
            <w:shd w:val="clear" w:color="auto" w:fill="F7F7F7"/>
          </w:tcPr>
          <w:p w14:paraId="19295848"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Catalog</w:t>
            </w:r>
          </w:p>
        </w:tc>
        <w:tc>
          <w:tcPr>
            <w:tcW w:w="5544" w:type="dxa"/>
            <w:shd w:val="clear" w:color="auto" w:fill="F7F7F7"/>
          </w:tcPr>
          <w:p w14:paraId="622C7136"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Merchant onboarding, menus, items, pricing, promotions, availability, stock updates, and inventory reservation</w:t>
            </w:r>
          </w:p>
        </w:tc>
        <w:tc>
          <w:tcPr>
            <w:tcW w:w="2160" w:type="dxa"/>
            <w:shd w:val="clear" w:color="auto" w:fill="F7F7F7"/>
          </w:tcPr>
          <w:p w14:paraId="5E000127"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HTTP concurrency and CPU</w:t>
            </w:r>
          </w:p>
        </w:tc>
      </w:tr>
      <w:tr w:rsidR="00640B2D" w:rsidRPr="00F62F15" w14:paraId="391FDBF4" w14:textId="77777777">
        <w:trPr>
          <w:jc w:val="center"/>
        </w:trPr>
        <w:tc>
          <w:tcPr>
            <w:tcW w:w="1944" w:type="dxa"/>
          </w:tcPr>
          <w:p w14:paraId="46E19BCD"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Order</w:t>
            </w:r>
          </w:p>
        </w:tc>
        <w:tc>
          <w:tcPr>
            <w:tcW w:w="5544" w:type="dxa"/>
          </w:tcPr>
          <w:p w14:paraId="5822E32F"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Cart, discount validation, simulated payment confirmation, checkout orchestration, order state, and history</w:t>
            </w:r>
          </w:p>
        </w:tc>
        <w:tc>
          <w:tcPr>
            <w:tcW w:w="2160" w:type="dxa"/>
          </w:tcPr>
          <w:p w14:paraId="4D726880"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HTTP concurrency, latency, and CPU</w:t>
            </w:r>
          </w:p>
        </w:tc>
      </w:tr>
      <w:tr w:rsidR="00640B2D" w:rsidRPr="00F62F15" w14:paraId="71E2CCEB" w14:textId="77777777">
        <w:trPr>
          <w:jc w:val="center"/>
        </w:trPr>
        <w:tc>
          <w:tcPr>
            <w:tcW w:w="1944" w:type="dxa"/>
            <w:shd w:val="clear" w:color="auto" w:fill="F7F7F7"/>
          </w:tcPr>
          <w:p w14:paraId="1645F73C"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Fulfilment and Delivery</w:t>
            </w:r>
          </w:p>
        </w:tc>
        <w:tc>
          <w:tcPr>
            <w:tcW w:w="5544" w:type="dxa"/>
            <w:shd w:val="clear" w:color="auto" w:fill="F7F7F7"/>
          </w:tcPr>
          <w:p w14:paraId="152A793D"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Merchant acceptance and preparation, rider eligibility and assignment, pickup, tracking, completion, and event consumption</w:t>
            </w:r>
          </w:p>
        </w:tc>
        <w:tc>
          <w:tcPr>
            <w:tcW w:w="2160" w:type="dxa"/>
            <w:shd w:val="clear" w:color="auto" w:fill="F7F7F7"/>
          </w:tcPr>
          <w:p w14:paraId="1979D4BB"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Service Bus queue length and CPU</w:t>
            </w:r>
          </w:p>
        </w:tc>
      </w:tr>
      <w:tr w:rsidR="00640B2D" w:rsidRPr="00F62F15" w14:paraId="589ABFB1" w14:textId="77777777">
        <w:trPr>
          <w:jc w:val="center"/>
        </w:trPr>
        <w:tc>
          <w:tcPr>
            <w:tcW w:w="1944" w:type="dxa"/>
          </w:tcPr>
          <w:p w14:paraId="24DC3C0C"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Gateway and clients</w:t>
            </w:r>
          </w:p>
        </w:tc>
        <w:tc>
          <w:tcPr>
            <w:tcW w:w="5544" w:type="dxa"/>
          </w:tcPr>
          <w:p w14:paraId="2FF868C2"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Gateway routing and protection, role-specific web functions, and a read-only campus menu display</w:t>
            </w:r>
          </w:p>
        </w:tc>
        <w:tc>
          <w:tcPr>
            <w:tcW w:w="2160" w:type="dxa"/>
          </w:tcPr>
          <w:p w14:paraId="67D7B07E" w14:textId="77777777" w:rsidR="00640B2D" w:rsidRPr="00F62F15" w:rsidRDefault="00000000">
            <w:pPr>
              <w:spacing w:after="0" w:line="240" w:lineRule="auto"/>
              <w:rPr>
                <w:rFonts w:ascii="Times New Roman" w:hAnsi="Times New Roman"/>
              </w:rPr>
            </w:pPr>
            <w:r w:rsidRPr="00F62F15">
              <w:rPr>
                <w:rFonts w:ascii="Times New Roman" w:hAnsi="Times New Roman"/>
                <w:sz w:val="17"/>
              </w:rPr>
              <w:t>Gateway HTTP concurrency</w:t>
            </w:r>
          </w:p>
        </w:tc>
      </w:tr>
    </w:tbl>
    <w:p w14:paraId="43B8D50C" w14:textId="77777777" w:rsidR="00640B2D" w:rsidRPr="00F62F15" w:rsidRDefault="00640B2D">
      <w:pPr>
        <w:spacing w:after="0"/>
        <w:rPr>
          <w:rFonts w:ascii="Times New Roman" w:hAnsi="Times New Roman"/>
        </w:rPr>
      </w:pPr>
    </w:p>
    <w:p w14:paraId="24D20ED8" w14:textId="77777777" w:rsidR="00640B2D" w:rsidRPr="00F62F15" w:rsidRDefault="00000000">
      <w:pPr>
        <w:pStyle w:val="2"/>
        <w:spacing w:before="120"/>
        <w:rPr>
          <w:rFonts w:ascii="Times New Roman" w:hAnsi="Times New Roman"/>
        </w:rPr>
      </w:pPr>
      <w:r w:rsidRPr="00F62F15">
        <w:rPr>
          <w:rFonts w:ascii="Times New Roman" w:hAnsi="Times New Roman"/>
        </w:rPr>
        <w:t>6 2 Demonstration Use Cases</w:t>
      </w:r>
    </w:p>
    <w:p w14:paraId="29903402"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A merchant registers, creates menu items, updates stock, and publishes a promotion.</w:t>
      </w:r>
    </w:p>
    <w:p w14:paraId="1C280BC4"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A customer browses current offerings, creates a cart, applies an eligible discount, confirms a simulated payment, and tracks the order.</w:t>
      </w:r>
    </w:p>
    <w:p w14:paraId="47582C47"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Order Service coordinates inventory reservation and publishes an order event without sharing a database transaction with another service.</w:t>
      </w:r>
    </w:p>
    <w:p w14:paraId="1CA783F9"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A merchant accepts and prepares the order, after which the fulfilment service assigns an eligible rider and records pickup, in-transit, and completion status.</w:t>
      </w:r>
    </w:p>
    <w:p w14:paraId="617EBBAD"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An administrator reviews users, orders, coupons, service health, and audit information.</w:t>
      </w:r>
    </w:p>
    <w:p w14:paraId="55F2BBFB"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A campus menu display reads published menu and promotion information through the gateway without accessing service data directly.</w:t>
      </w:r>
    </w:p>
    <w:p w14:paraId="5C2267BF" w14:textId="77777777" w:rsidR="00640B2D" w:rsidRPr="00F62F15" w:rsidRDefault="00000000">
      <w:pPr>
        <w:pStyle w:val="2"/>
        <w:spacing w:before="120"/>
        <w:rPr>
          <w:rFonts w:ascii="Times New Roman" w:hAnsi="Times New Roman"/>
        </w:rPr>
      </w:pPr>
      <w:r w:rsidRPr="00F62F15">
        <w:rPr>
          <w:rFonts w:ascii="Times New Roman" w:hAnsi="Times New Roman"/>
        </w:rPr>
        <w:t>6 3 Scalability and Quality Attributes</w:t>
      </w:r>
    </w:p>
    <w:p w14:paraId="2EF2E2E1" w14:textId="77777777" w:rsidR="00640B2D" w:rsidRPr="00F62F15" w:rsidRDefault="00000000">
      <w:pPr>
        <w:spacing w:after="120"/>
        <w:rPr>
          <w:rFonts w:ascii="Times New Roman" w:hAnsi="Times New Roman"/>
        </w:rPr>
      </w:pPr>
      <w:r w:rsidRPr="00F62F15">
        <w:rPr>
          <w:rFonts w:ascii="Times New Roman" w:hAnsi="Times New Roman"/>
        </w:rPr>
        <w:t>All application services will be stateless and will use health probes. Azure Container Apps will maintain at least one replica of each core service in the demonstration environment. HTTP-facing services will scale on concurrent requests or CPU utilization. The Fulfilment and Delivery Service will also scale on Service Bus queue length. Limits will remain small enough for the project budget but high enough to show independent scale-out and scale-in.</w:t>
      </w:r>
    </w:p>
    <w:p w14:paraId="36F69912" w14:textId="77777777" w:rsidR="00640B2D" w:rsidRPr="00F62F15" w:rsidRDefault="00000000">
      <w:pPr>
        <w:spacing w:after="120"/>
        <w:rPr>
          <w:rFonts w:ascii="Times New Roman" w:hAnsi="Times New Roman"/>
        </w:rPr>
      </w:pPr>
      <w:r w:rsidRPr="00F62F15">
        <w:rPr>
          <w:rFonts w:ascii="Times New Roman" w:hAnsi="Times New Roman"/>
        </w:rPr>
        <w:t>A scripted k6 test will exercise login, catalog browsing, checkout, and order tracking. The initial acceptance profile will use 20 concurrent virtual users. At least 95 percent of requests should complete within two seconds, the request error rate should remain below one percent, and the test should not produce negative stock, duplicate assignments, or invalid state transitions.</w:t>
      </w:r>
    </w:p>
    <w:p w14:paraId="2D5B1E62" w14:textId="77777777" w:rsidR="00640B2D" w:rsidRPr="00F62F15" w:rsidRDefault="00000000">
      <w:pPr>
        <w:spacing w:after="120"/>
        <w:rPr>
          <w:rFonts w:ascii="Times New Roman" w:hAnsi="Times New Roman"/>
        </w:rPr>
      </w:pPr>
      <w:r w:rsidRPr="00F62F15">
        <w:rPr>
          <w:rFonts w:ascii="Times New Roman" w:hAnsi="Times New Roman"/>
        </w:rPr>
        <w:t>A higher load profile will target the gateway and selected service endpoints until at least one core service increases from one replica to two or more while an unrelated service remains at its original replica count. A second test will publish a controlled event backlog and record the Fulfilment and Delivery Service increasing its consumer replicas. The report will include load settings, latency, throughput, error rate, queue depth, replica timelines, and scale-in observations.</w:t>
      </w:r>
    </w:p>
    <w:tbl>
      <w:tblPr>
        <w:tblStyle w:val="af5"/>
        <w:tblW w:w="0" w:type="auto"/>
        <w:jc w:val="center"/>
        <w:tblLayout w:type="fixed"/>
        <w:tblLook w:val="04A0" w:firstRow="1" w:lastRow="0" w:firstColumn="1" w:lastColumn="0" w:noHBand="0" w:noVBand="1"/>
      </w:tblPr>
      <w:tblGrid>
        <w:gridCol w:w="1512"/>
        <w:gridCol w:w="5256"/>
        <w:gridCol w:w="2880"/>
      </w:tblGrid>
      <w:tr w:rsidR="00640B2D" w:rsidRPr="00F62F15" w14:paraId="3DA6EF21" w14:textId="77777777">
        <w:trPr>
          <w:cantSplit/>
          <w:tblHeader/>
          <w:jc w:val="center"/>
        </w:trPr>
        <w:tc>
          <w:tcPr>
            <w:tcW w:w="1512" w:type="dxa"/>
            <w:shd w:val="clear" w:color="auto" w:fill="E2E2E2"/>
            <w:tcMar>
              <w:top w:w="90" w:type="dxa"/>
              <w:left w:w="100" w:type="dxa"/>
              <w:bottom w:w="90" w:type="dxa"/>
              <w:right w:w="100" w:type="dxa"/>
            </w:tcMar>
            <w:vAlign w:val="center"/>
          </w:tcPr>
          <w:p w14:paraId="1BA95D16" w14:textId="77777777" w:rsidR="00640B2D" w:rsidRPr="00F62F15" w:rsidRDefault="00000000">
            <w:pPr>
              <w:spacing w:after="0"/>
              <w:rPr>
                <w:rFonts w:ascii="Times New Roman" w:hAnsi="Times New Roman"/>
              </w:rPr>
            </w:pPr>
            <w:r w:rsidRPr="00F62F15">
              <w:rPr>
                <w:rFonts w:ascii="Times New Roman" w:hAnsi="Times New Roman"/>
                <w:b/>
                <w:sz w:val="16"/>
              </w:rPr>
              <w:t>Attribute</w:t>
            </w:r>
          </w:p>
        </w:tc>
        <w:tc>
          <w:tcPr>
            <w:tcW w:w="5256" w:type="dxa"/>
            <w:shd w:val="clear" w:color="auto" w:fill="E2E2E2"/>
            <w:tcMar>
              <w:top w:w="90" w:type="dxa"/>
              <w:left w:w="100" w:type="dxa"/>
              <w:bottom w:w="90" w:type="dxa"/>
              <w:right w:w="100" w:type="dxa"/>
            </w:tcMar>
            <w:vAlign w:val="center"/>
          </w:tcPr>
          <w:p w14:paraId="4B64D368" w14:textId="77777777" w:rsidR="00640B2D" w:rsidRPr="00F62F15" w:rsidRDefault="00000000">
            <w:pPr>
              <w:spacing w:after="0"/>
              <w:rPr>
                <w:rFonts w:ascii="Times New Roman" w:hAnsi="Times New Roman"/>
              </w:rPr>
            </w:pPr>
            <w:r w:rsidRPr="00F62F15">
              <w:rPr>
                <w:rFonts w:ascii="Times New Roman" w:hAnsi="Times New Roman"/>
                <w:b/>
                <w:sz w:val="16"/>
              </w:rPr>
              <w:t>Architecture Strategy</w:t>
            </w:r>
          </w:p>
        </w:tc>
        <w:tc>
          <w:tcPr>
            <w:tcW w:w="2880" w:type="dxa"/>
            <w:shd w:val="clear" w:color="auto" w:fill="E2E2E2"/>
            <w:tcMar>
              <w:top w:w="90" w:type="dxa"/>
              <w:left w:w="100" w:type="dxa"/>
              <w:bottom w:w="90" w:type="dxa"/>
              <w:right w:w="100" w:type="dxa"/>
            </w:tcMar>
            <w:vAlign w:val="center"/>
          </w:tcPr>
          <w:p w14:paraId="760F2262" w14:textId="77777777" w:rsidR="00640B2D" w:rsidRPr="00F62F15" w:rsidRDefault="00000000">
            <w:pPr>
              <w:spacing w:after="0"/>
              <w:rPr>
                <w:rFonts w:ascii="Times New Roman" w:hAnsi="Times New Roman"/>
              </w:rPr>
            </w:pPr>
            <w:r w:rsidRPr="00F62F15">
              <w:rPr>
                <w:rFonts w:ascii="Times New Roman" w:hAnsi="Times New Roman"/>
                <w:b/>
                <w:sz w:val="16"/>
              </w:rPr>
              <w:t>Planned Evidence</w:t>
            </w:r>
          </w:p>
        </w:tc>
      </w:tr>
      <w:tr w:rsidR="00640B2D" w:rsidRPr="00F62F15" w14:paraId="670602B7" w14:textId="77777777">
        <w:trPr>
          <w:jc w:val="center"/>
        </w:trPr>
        <w:tc>
          <w:tcPr>
            <w:tcW w:w="1512" w:type="dxa"/>
          </w:tcPr>
          <w:p w14:paraId="4830A39F"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Scalability</w:t>
            </w:r>
          </w:p>
        </w:tc>
        <w:tc>
          <w:tcPr>
            <w:tcW w:w="5256" w:type="dxa"/>
          </w:tcPr>
          <w:p w14:paraId="0D01F46A"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Stateless services, independent Container Apps, HTTP and queue-based scaling rules</w:t>
            </w:r>
          </w:p>
        </w:tc>
        <w:tc>
          <w:tcPr>
            <w:tcW w:w="2880" w:type="dxa"/>
          </w:tcPr>
          <w:p w14:paraId="1F0A3E55"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k6 results, queue depth, and per-service replica timelines</w:t>
            </w:r>
          </w:p>
        </w:tc>
      </w:tr>
      <w:tr w:rsidR="00640B2D" w:rsidRPr="00F62F15" w14:paraId="68E19B9D" w14:textId="77777777">
        <w:trPr>
          <w:jc w:val="center"/>
        </w:trPr>
        <w:tc>
          <w:tcPr>
            <w:tcW w:w="1512" w:type="dxa"/>
            <w:shd w:val="clear" w:color="auto" w:fill="F7F7F7"/>
          </w:tcPr>
          <w:p w14:paraId="6CA31D64"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Performance</w:t>
            </w:r>
          </w:p>
        </w:tc>
        <w:tc>
          <w:tcPr>
            <w:tcW w:w="5256" w:type="dxa"/>
            <w:shd w:val="clear" w:color="auto" w:fill="F7F7F7"/>
          </w:tcPr>
          <w:p w14:paraId="48AB6948"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 xml:space="preserve">Gateway routing, bounded queries, pagination, asynchronous event </w:t>
            </w:r>
            <w:r w:rsidRPr="00F62F15">
              <w:rPr>
                <w:rFonts w:ascii="Times New Roman" w:hAnsi="Times New Roman"/>
                <w:sz w:val="16"/>
              </w:rPr>
              <w:lastRenderedPageBreak/>
              <w:t>processing, and targeted load tests</w:t>
            </w:r>
          </w:p>
        </w:tc>
        <w:tc>
          <w:tcPr>
            <w:tcW w:w="2880" w:type="dxa"/>
            <w:shd w:val="clear" w:color="auto" w:fill="F7F7F7"/>
          </w:tcPr>
          <w:p w14:paraId="72F2D4FB" w14:textId="77777777" w:rsidR="00640B2D" w:rsidRPr="00F62F15" w:rsidRDefault="00000000">
            <w:pPr>
              <w:spacing w:after="0" w:line="240" w:lineRule="auto"/>
              <w:rPr>
                <w:rFonts w:ascii="Times New Roman" w:hAnsi="Times New Roman"/>
              </w:rPr>
            </w:pPr>
            <w:r w:rsidRPr="00F62F15">
              <w:rPr>
                <w:rFonts w:ascii="Times New Roman" w:hAnsi="Times New Roman"/>
                <w:sz w:val="16"/>
              </w:rPr>
              <w:lastRenderedPageBreak/>
              <w:t xml:space="preserve">Latency percentiles, throughput, and </w:t>
            </w:r>
            <w:r w:rsidRPr="00F62F15">
              <w:rPr>
                <w:rFonts w:ascii="Times New Roman" w:hAnsi="Times New Roman"/>
                <w:sz w:val="16"/>
              </w:rPr>
              <w:lastRenderedPageBreak/>
              <w:t>error rate by endpoint</w:t>
            </w:r>
          </w:p>
        </w:tc>
      </w:tr>
      <w:tr w:rsidR="00640B2D" w:rsidRPr="00F62F15" w14:paraId="368FBE97" w14:textId="77777777">
        <w:trPr>
          <w:jc w:val="center"/>
        </w:trPr>
        <w:tc>
          <w:tcPr>
            <w:tcW w:w="1512" w:type="dxa"/>
          </w:tcPr>
          <w:p w14:paraId="321BCEBF" w14:textId="77777777" w:rsidR="00640B2D" w:rsidRPr="00F62F15" w:rsidRDefault="00000000">
            <w:pPr>
              <w:spacing w:after="0" w:line="240" w:lineRule="auto"/>
              <w:rPr>
                <w:rFonts w:ascii="Times New Roman" w:hAnsi="Times New Roman"/>
              </w:rPr>
            </w:pPr>
            <w:r w:rsidRPr="00F62F15">
              <w:rPr>
                <w:rFonts w:ascii="Times New Roman" w:hAnsi="Times New Roman"/>
                <w:sz w:val="16"/>
              </w:rPr>
              <w:lastRenderedPageBreak/>
              <w:t>Availability</w:t>
            </w:r>
          </w:p>
        </w:tc>
        <w:tc>
          <w:tcPr>
            <w:tcW w:w="5256" w:type="dxa"/>
          </w:tcPr>
          <w:p w14:paraId="6FD740C3"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Health probes, multiple replicas under load, timeouts, limited retries, and revision-based deployment</w:t>
            </w:r>
          </w:p>
        </w:tc>
        <w:tc>
          <w:tcPr>
            <w:tcW w:w="2880" w:type="dxa"/>
          </w:tcPr>
          <w:p w14:paraId="2FDC6EB4"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Health checks, distributed traces, smoke tests, and rollback exercise</w:t>
            </w:r>
          </w:p>
        </w:tc>
      </w:tr>
      <w:tr w:rsidR="00640B2D" w:rsidRPr="00F62F15" w14:paraId="2556DE9F" w14:textId="77777777">
        <w:trPr>
          <w:jc w:val="center"/>
        </w:trPr>
        <w:tc>
          <w:tcPr>
            <w:tcW w:w="1512" w:type="dxa"/>
            <w:shd w:val="clear" w:color="auto" w:fill="F7F7F7"/>
          </w:tcPr>
          <w:p w14:paraId="438F8078"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Consistency</w:t>
            </w:r>
          </w:p>
        </w:tc>
        <w:tc>
          <w:tcPr>
            <w:tcW w:w="5256" w:type="dxa"/>
            <w:shd w:val="clear" w:color="auto" w:fill="F7F7F7"/>
          </w:tcPr>
          <w:p w14:paraId="73405EB9"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Service-owned data, optimistic concurrency, outbox publishing, idempotent consumers, and compensating events</w:t>
            </w:r>
          </w:p>
        </w:tc>
        <w:tc>
          <w:tcPr>
            <w:tcW w:w="2880" w:type="dxa"/>
            <w:shd w:val="clear" w:color="auto" w:fill="F7F7F7"/>
          </w:tcPr>
          <w:p w14:paraId="077EC4F7"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Concurrent checkout tests and event replay tests without duplicate effects</w:t>
            </w:r>
          </w:p>
        </w:tc>
      </w:tr>
      <w:tr w:rsidR="00640B2D" w:rsidRPr="00F62F15" w14:paraId="347F51FA" w14:textId="77777777">
        <w:trPr>
          <w:jc w:val="center"/>
        </w:trPr>
        <w:tc>
          <w:tcPr>
            <w:tcW w:w="1512" w:type="dxa"/>
          </w:tcPr>
          <w:p w14:paraId="10A737A8"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Security</w:t>
            </w:r>
          </w:p>
        </w:tc>
        <w:tc>
          <w:tcPr>
            <w:tcW w:w="5256" w:type="dxa"/>
          </w:tcPr>
          <w:p w14:paraId="7A0EDCDA"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TLS, JWT, role checks, input validation, secret protection, and code, dependency, and image scanning</w:t>
            </w:r>
          </w:p>
        </w:tc>
        <w:tc>
          <w:tcPr>
            <w:tcW w:w="2880" w:type="dxa"/>
          </w:tcPr>
          <w:p w14:paraId="273B9993"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Pipeline reports and authorization tests with no unresolved Critical or High finding</w:t>
            </w:r>
          </w:p>
        </w:tc>
      </w:tr>
      <w:tr w:rsidR="00640B2D" w:rsidRPr="00F62F15" w14:paraId="739F9AB8" w14:textId="77777777">
        <w:trPr>
          <w:jc w:val="center"/>
        </w:trPr>
        <w:tc>
          <w:tcPr>
            <w:tcW w:w="1512" w:type="dxa"/>
            <w:shd w:val="clear" w:color="auto" w:fill="F7F7F7"/>
          </w:tcPr>
          <w:p w14:paraId="1378B8CB"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Maintainability</w:t>
            </w:r>
          </w:p>
        </w:tc>
        <w:tc>
          <w:tcPr>
            <w:tcW w:w="5256" w:type="dxa"/>
            <w:shd w:val="clear" w:color="auto" w:fill="F7F7F7"/>
          </w:tcPr>
          <w:p w14:paraId="1955F67A"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Explicit service contracts, database migrations per service, automated tests, and architecture decisions</w:t>
            </w:r>
          </w:p>
        </w:tc>
        <w:tc>
          <w:tcPr>
            <w:tcW w:w="2880" w:type="dxa"/>
            <w:shd w:val="clear" w:color="auto" w:fill="F7F7F7"/>
          </w:tcPr>
          <w:p w14:paraId="11DD58AD"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Independent build and deployment records for all four services</w:t>
            </w:r>
          </w:p>
        </w:tc>
      </w:tr>
    </w:tbl>
    <w:p w14:paraId="4CFF75AF" w14:textId="77777777" w:rsidR="00640B2D" w:rsidRPr="00F62F15" w:rsidRDefault="00640B2D">
      <w:pPr>
        <w:spacing w:after="0"/>
        <w:rPr>
          <w:rFonts w:ascii="Times New Roman" w:hAnsi="Times New Roman"/>
        </w:rPr>
      </w:pPr>
    </w:p>
    <w:p w14:paraId="7F52A9B0" w14:textId="77777777" w:rsidR="00640B2D" w:rsidRPr="00F62F15" w:rsidRDefault="00000000">
      <w:pPr>
        <w:pStyle w:val="2"/>
        <w:spacing w:before="120"/>
        <w:rPr>
          <w:rFonts w:ascii="Times New Roman" w:hAnsi="Times New Roman"/>
        </w:rPr>
      </w:pPr>
      <w:r w:rsidRPr="00F62F15">
        <w:rPr>
          <w:rFonts w:ascii="Times New Roman" w:hAnsi="Times New Roman"/>
        </w:rPr>
        <w:t>6 4 DevOps Platform Engineering and Security</w:t>
      </w:r>
    </w:p>
    <w:p w14:paraId="2144D374"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Use short-lived feature branches and pull requests with required automated checks before integration.</w:t>
      </w:r>
    </w:p>
    <w:p w14:paraId="6870CF32"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Build and test each service separately, run contract and integration tests, and publish test results on each pull request.</w:t>
      </w:r>
    </w:p>
    <w:p w14:paraId="4AC9AAFF"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Run secret scanning, static analysis, dependency vulnerability scanning, and container-image scanning as release checks.</w:t>
      </w:r>
    </w:p>
    <w:p w14:paraId="35B1DFD0"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Publish versioned images and deploy each service independently through GitHub Actions.</w:t>
      </w:r>
    </w:p>
    <w:p w14:paraId="03E40CFA"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Run health and end-to-end smoke tests after deployment and retain a tested rollback procedure for each service revision.</w:t>
      </w:r>
    </w:p>
    <w:p w14:paraId="5ED28133"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Use correlation IDs and distributed tracing across the gateway, services, database calls, and Service Bus messages.</w:t>
      </w:r>
    </w:p>
    <w:p w14:paraId="4CB36C13"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Maintain the principal Azure resources and scaling settings as repeatable Bicep configuration.</w:t>
      </w:r>
    </w:p>
    <w:p w14:paraId="1A45F9FC" w14:textId="77777777" w:rsidR="00640B2D" w:rsidRPr="00F62F15" w:rsidRDefault="00000000">
      <w:pPr>
        <w:pStyle w:val="2"/>
        <w:spacing w:before="120"/>
        <w:rPr>
          <w:rFonts w:ascii="Times New Roman" w:hAnsi="Times New Roman"/>
        </w:rPr>
      </w:pPr>
      <w:r w:rsidRPr="00F62F15">
        <w:rPr>
          <w:rFonts w:ascii="Times New Roman" w:hAnsi="Times New Roman"/>
        </w:rPr>
        <w:t>6 5 Out of Scope</w:t>
      </w:r>
    </w:p>
    <w:p w14:paraId="0993ED4D" w14:textId="77777777" w:rsidR="00640B2D" w:rsidRPr="00F62F15" w:rsidRDefault="00000000">
      <w:pPr>
        <w:spacing w:after="120"/>
        <w:rPr>
          <w:rFonts w:ascii="Times New Roman" w:hAnsi="Times New Roman"/>
        </w:rPr>
      </w:pPr>
      <w:r w:rsidRPr="00F62F15">
        <w:rPr>
          <w:rFonts w:ascii="Times New Roman" w:hAnsi="Times New Roman"/>
        </w:rPr>
        <w:t>Real financial settlement and refunds, native mobile applications, real-time GPS navigation, machine-learning recommendations, payroll or wallet settlement, production multi-region deployment, a service mesh, and further decomposition into fine-grained services are outside the project scope. The implementation will focus on four well-defined services, a demonstrable cloud staging environment, and the architecture evidence required for the practice module.</w:t>
      </w:r>
    </w:p>
    <w:p w14:paraId="0B0351A8" w14:textId="77777777" w:rsidR="00640B2D" w:rsidRPr="00F62F15" w:rsidRDefault="00000000">
      <w:pPr>
        <w:pStyle w:val="1"/>
        <w:spacing w:before="160" w:after="80"/>
        <w:rPr>
          <w:rFonts w:ascii="Times New Roman" w:hAnsi="Times New Roman"/>
        </w:rPr>
      </w:pPr>
      <w:r w:rsidRPr="00F62F15">
        <w:rPr>
          <w:rFonts w:ascii="Times New Roman" w:hAnsi="Times New Roman"/>
        </w:rPr>
        <w:t>7 Success Criteria</w:t>
      </w:r>
    </w:p>
    <w:p w14:paraId="196053BB"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Identity, Catalog, Order, and Fulfilment and Delivery services run as separate deployable containers behind the API Gateway.</w:t>
      </w:r>
    </w:p>
    <w:p w14:paraId="1F78DB2B"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Each service owns its logical database or schema and credentials, and no service directly reads another service's tables.</w:t>
      </w:r>
    </w:p>
    <w:p w14:paraId="7A7CB6DE"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customer, merchant, rider, and administrator roles complete the planned order and delivery flow in the staging environment.</w:t>
      </w:r>
    </w:p>
    <w:p w14:paraId="1D804FF9"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Order and delivery events pass through Azure Service Bus and repeated message delivery does not create duplicate business effects.</w:t>
      </w:r>
    </w:p>
    <w:p w14:paraId="5E88B788"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An automated pipeline builds, tests, scans, deploys, and verifies each service using versioned images.</w:t>
      </w:r>
    </w:p>
    <w:p w14:paraId="3DF5BF76"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20-user acceptance load profile meets the latency and error targets without inventory or order-state inconsistencies.</w:t>
      </w:r>
    </w:p>
    <w:p w14:paraId="17BEF0A7"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scale-out demonstration records at least one core service increasing from one replica to two or more while an unrelated service remains unchanged.</w:t>
      </w:r>
    </w:p>
    <w:p w14:paraId="132307E5"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queue-load demonstration records the Fulfilment and Delivery Service increasing consumer replicas and clearing the backlog.</w:t>
      </w:r>
    </w:p>
    <w:p w14:paraId="41F28BC5"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Mandatory security checks have no unresolved Critical or High severity finding for the staging release.</w:t>
      </w:r>
    </w:p>
    <w:p w14:paraId="10E8EB85" w14:textId="77777777" w:rsidR="00640B2D" w:rsidRPr="00F62F15" w:rsidRDefault="00000000">
      <w:pPr>
        <w:pStyle w:val="a"/>
        <w:spacing w:after="40" w:line="247" w:lineRule="auto"/>
        <w:rPr>
          <w:rFonts w:ascii="Times New Roman" w:hAnsi="Times New Roman"/>
        </w:rPr>
      </w:pPr>
      <w:r w:rsidRPr="00F62F15">
        <w:rPr>
          <w:rFonts w:ascii="Times New Roman" w:hAnsi="Times New Roman"/>
        </w:rPr>
        <w:t>The final report documents service boundaries, API and event contracts, persistence decisions, architecture decisions, delivery procedures, limitations, and measured results.</w:t>
      </w:r>
    </w:p>
    <w:p w14:paraId="52A016D2" w14:textId="77777777" w:rsidR="00640B2D" w:rsidRPr="00F62F15" w:rsidRDefault="00000000">
      <w:pPr>
        <w:pStyle w:val="1"/>
        <w:spacing w:before="160" w:after="80"/>
        <w:rPr>
          <w:rFonts w:ascii="Times New Roman" w:hAnsi="Times New Roman"/>
        </w:rPr>
      </w:pPr>
      <w:r w:rsidRPr="00F62F15">
        <w:rPr>
          <w:rFonts w:ascii="Times New Roman" w:hAnsi="Times New Roman"/>
        </w:rPr>
        <w:lastRenderedPageBreak/>
        <w:t>8 Effort Estimates</w:t>
      </w:r>
    </w:p>
    <w:p w14:paraId="62985765" w14:textId="77777777" w:rsidR="00640B2D" w:rsidRPr="00F62F15" w:rsidRDefault="00000000">
      <w:pPr>
        <w:spacing w:after="120"/>
        <w:rPr>
          <w:rFonts w:ascii="Times New Roman" w:hAnsi="Times New Roman"/>
        </w:rPr>
      </w:pPr>
      <w:r w:rsidRPr="00F62F15">
        <w:rPr>
          <w:rFonts w:ascii="Times New Roman" w:hAnsi="Times New Roman"/>
        </w:rPr>
        <w:t>The project is planned for five team members with approximately ten person-days of effort per participant, giving a total planning capacity of 50 person-days. Work packages will run in parallel after the service boundaries, contracts, and deployment baseline are agreed.</w:t>
      </w:r>
    </w:p>
    <w:tbl>
      <w:tblPr>
        <w:tblStyle w:val="af5"/>
        <w:tblW w:w="0" w:type="auto"/>
        <w:jc w:val="center"/>
        <w:tblLayout w:type="fixed"/>
        <w:tblLook w:val="04A0" w:firstRow="1" w:lastRow="0" w:firstColumn="1" w:lastColumn="0" w:noHBand="0" w:noVBand="1"/>
      </w:tblPr>
      <w:tblGrid>
        <w:gridCol w:w="648"/>
        <w:gridCol w:w="2232"/>
        <w:gridCol w:w="5832"/>
        <w:gridCol w:w="936"/>
      </w:tblGrid>
      <w:tr w:rsidR="00640B2D" w:rsidRPr="00F62F15" w14:paraId="4563B97B" w14:textId="77777777">
        <w:trPr>
          <w:cantSplit/>
          <w:tblHeader/>
          <w:jc w:val="center"/>
        </w:trPr>
        <w:tc>
          <w:tcPr>
            <w:tcW w:w="648" w:type="dxa"/>
            <w:shd w:val="clear" w:color="auto" w:fill="E2E2E2"/>
            <w:tcMar>
              <w:top w:w="90" w:type="dxa"/>
              <w:left w:w="100" w:type="dxa"/>
              <w:bottom w:w="90" w:type="dxa"/>
              <w:right w:w="100" w:type="dxa"/>
            </w:tcMar>
            <w:vAlign w:val="center"/>
          </w:tcPr>
          <w:p w14:paraId="095DA71F" w14:textId="77777777" w:rsidR="00640B2D" w:rsidRPr="00F62F15" w:rsidRDefault="00000000">
            <w:pPr>
              <w:spacing w:after="0"/>
              <w:rPr>
                <w:rFonts w:ascii="Times New Roman" w:hAnsi="Times New Roman"/>
              </w:rPr>
            </w:pPr>
            <w:r w:rsidRPr="00F62F15">
              <w:rPr>
                <w:rFonts w:ascii="Times New Roman" w:hAnsi="Times New Roman"/>
                <w:b/>
                <w:sz w:val="16"/>
              </w:rPr>
              <w:t>WBS</w:t>
            </w:r>
          </w:p>
        </w:tc>
        <w:tc>
          <w:tcPr>
            <w:tcW w:w="2232" w:type="dxa"/>
            <w:shd w:val="clear" w:color="auto" w:fill="E2E2E2"/>
            <w:tcMar>
              <w:top w:w="90" w:type="dxa"/>
              <w:left w:w="100" w:type="dxa"/>
              <w:bottom w:w="90" w:type="dxa"/>
              <w:right w:w="100" w:type="dxa"/>
            </w:tcMar>
            <w:vAlign w:val="center"/>
          </w:tcPr>
          <w:p w14:paraId="68E0F32D" w14:textId="77777777" w:rsidR="00640B2D" w:rsidRPr="00F62F15" w:rsidRDefault="00000000">
            <w:pPr>
              <w:spacing w:after="0"/>
              <w:rPr>
                <w:rFonts w:ascii="Times New Roman" w:hAnsi="Times New Roman"/>
              </w:rPr>
            </w:pPr>
            <w:r w:rsidRPr="00F62F15">
              <w:rPr>
                <w:rFonts w:ascii="Times New Roman" w:hAnsi="Times New Roman"/>
                <w:b/>
                <w:sz w:val="16"/>
              </w:rPr>
              <w:t>Work Package</w:t>
            </w:r>
          </w:p>
        </w:tc>
        <w:tc>
          <w:tcPr>
            <w:tcW w:w="5832" w:type="dxa"/>
            <w:shd w:val="clear" w:color="auto" w:fill="E2E2E2"/>
            <w:tcMar>
              <w:top w:w="90" w:type="dxa"/>
              <w:left w:w="100" w:type="dxa"/>
              <w:bottom w:w="90" w:type="dxa"/>
              <w:right w:w="100" w:type="dxa"/>
            </w:tcMar>
            <w:vAlign w:val="center"/>
          </w:tcPr>
          <w:p w14:paraId="18DDF7EA" w14:textId="77777777" w:rsidR="00640B2D" w:rsidRPr="00F62F15" w:rsidRDefault="00000000">
            <w:pPr>
              <w:spacing w:after="0"/>
              <w:rPr>
                <w:rFonts w:ascii="Times New Roman" w:hAnsi="Times New Roman"/>
              </w:rPr>
            </w:pPr>
            <w:r w:rsidRPr="00F62F15">
              <w:rPr>
                <w:rFonts w:ascii="Times New Roman" w:hAnsi="Times New Roman"/>
                <w:b/>
                <w:sz w:val="16"/>
              </w:rPr>
              <w:t>Main Activities</w:t>
            </w:r>
          </w:p>
        </w:tc>
        <w:tc>
          <w:tcPr>
            <w:tcW w:w="936" w:type="dxa"/>
            <w:shd w:val="clear" w:color="auto" w:fill="E2E2E2"/>
            <w:tcMar>
              <w:top w:w="90" w:type="dxa"/>
              <w:left w:w="100" w:type="dxa"/>
              <w:bottom w:w="90" w:type="dxa"/>
              <w:right w:w="100" w:type="dxa"/>
            </w:tcMar>
            <w:vAlign w:val="center"/>
          </w:tcPr>
          <w:p w14:paraId="167C9B6F" w14:textId="77777777" w:rsidR="00640B2D" w:rsidRPr="00F62F15" w:rsidRDefault="00000000">
            <w:pPr>
              <w:spacing w:after="0"/>
              <w:rPr>
                <w:rFonts w:ascii="Times New Roman" w:hAnsi="Times New Roman"/>
              </w:rPr>
            </w:pPr>
            <w:r w:rsidRPr="00F62F15">
              <w:rPr>
                <w:rFonts w:ascii="Times New Roman" w:hAnsi="Times New Roman"/>
                <w:b/>
                <w:sz w:val="16"/>
              </w:rPr>
              <w:t>Person Days</w:t>
            </w:r>
          </w:p>
        </w:tc>
      </w:tr>
      <w:tr w:rsidR="00640B2D" w:rsidRPr="00F62F15" w14:paraId="663834F7" w14:textId="77777777">
        <w:trPr>
          <w:jc w:val="center"/>
        </w:trPr>
        <w:tc>
          <w:tcPr>
            <w:tcW w:w="648" w:type="dxa"/>
          </w:tcPr>
          <w:p w14:paraId="1DCF7A74"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1</w:t>
            </w:r>
          </w:p>
        </w:tc>
        <w:tc>
          <w:tcPr>
            <w:tcW w:w="2232" w:type="dxa"/>
          </w:tcPr>
          <w:p w14:paraId="3B9974A8"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Requirements and platform modelling</w:t>
            </w:r>
          </w:p>
        </w:tc>
        <w:tc>
          <w:tcPr>
            <w:tcW w:w="5832" w:type="dxa"/>
          </w:tcPr>
          <w:p w14:paraId="091D1392"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Refine stakeholders, platform roles, use cases, acceptance criteria, and project backlog</w:t>
            </w:r>
          </w:p>
        </w:tc>
        <w:tc>
          <w:tcPr>
            <w:tcW w:w="936" w:type="dxa"/>
          </w:tcPr>
          <w:p w14:paraId="3B8486E8"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3</w:t>
            </w:r>
          </w:p>
        </w:tc>
      </w:tr>
      <w:tr w:rsidR="00640B2D" w:rsidRPr="00F62F15" w14:paraId="10074F7D" w14:textId="77777777">
        <w:trPr>
          <w:jc w:val="center"/>
        </w:trPr>
        <w:tc>
          <w:tcPr>
            <w:tcW w:w="648" w:type="dxa"/>
            <w:shd w:val="clear" w:color="auto" w:fill="F7F7F7"/>
          </w:tcPr>
          <w:p w14:paraId="1554DAE6"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2</w:t>
            </w:r>
          </w:p>
        </w:tc>
        <w:tc>
          <w:tcPr>
            <w:tcW w:w="2232" w:type="dxa"/>
            <w:shd w:val="clear" w:color="auto" w:fill="F7F7F7"/>
          </w:tcPr>
          <w:p w14:paraId="735E63FF"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Microservice and data design</w:t>
            </w:r>
          </w:p>
        </w:tc>
        <w:tc>
          <w:tcPr>
            <w:tcW w:w="5832" w:type="dxa"/>
            <w:shd w:val="clear" w:color="auto" w:fill="F7F7F7"/>
          </w:tcPr>
          <w:p w14:paraId="072F218E"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Service boundaries, API and event contracts, data ownership, architecture decisions, and security baseline</w:t>
            </w:r>
          </w:p>
        </w:tc>
        <w:tc>
          <w:tcPr>
            <w:tcW w:w="936" w:type="dxa"/>
            <w:shd w:val="clear" w:color="auto" w:fill="F7F7F7"/>
          </w:tcPr>
          <w:p w14:paraId="3626F810"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7</w:t>
            </w:r>
          </w:p>
        </w:tc>
      </w:tr>
      <w:tr w:rsidR="00640B2D" w:rsidRPr="00F62F15" w14:paraId="3F7E41CF" w14:textId="77777777">
        <w:trPr>
          <w:jc w:val="center"/>
        </w:trPr>
        <w:tc>
          <w:tcPr>
            <w:tcW w:w="648" w:type="dxa"/>
          </w:tcPr>
          <w:p w14:paraId="03812171"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3</w:t>
            </w:r>
          </w:p>
        </w:tc>
        <w:tc>
          <w:tcPr>
            <w:tcW w:w="2232" w:type="dxa"/>
          </w:tcPr>
          <w:p w14:paraId="0BEC93EB"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Core microservices</w:t>
            </w:r>
          </w:p>
        </w:tc>
        <w:tc>
          <w:tcPr>
            <w:tcW w:w="5832" w:type="dxa"/>
          </w:tcPr>
          <w:p w14:paraId="0DF343C4"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Identity, Catalog, Order, and Fulfilment and Delivery implementation with tests and migrations</w:t>
            </w:r>
          </w:p>
        </w:tc>
        <w:tc>
          <w:tcPr>
            <w:tcW w:w="936" w:type="dxa"/>
          </w:tcPr>
          <w:p w14:paraId="487B5BD1"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14</w:t>
            </w:r>
          </w:p>
        </w:tc>
      </w:tr>
      <w:tr w:rsidR="00640B2D" w:rsidRPr="00F62F15" w14:paraId="2324DDAA" w14:textId="77777777">
        <w:trPr>
          <w:jc w:val="center"/>
        </w:trPr>
        <w:tc>
          <w:tcPr>
            <w:tcW w:w="648" w:type="dxa"/>
            <w:shd w:val="clear" w:color="auto" w:fill="F7F7F7"/>
          </w:tcPr>
          <w:p w14:paraId="69AF76B7"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4</w:t>
            </w:r>
          </w:p>
        </w:tc>
        <w:tc>
          <w:tcPr>
            <w:tcW w:w="2232" w:type="dxa"/>
            <w:shd w:val="clear" w:color="auto" w:fill="F7F7F7"/>
          </w:tcPr>
          <w:p w14:paraId="0B6A467E"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Applications, gateway, and integration</w:t>
            </w:r>
          </w:p>
        </w:tc>
        <w:tc>
          <w:tcPr>
            <w:tcW w:w="5832" w:type="dxa"/>
            <w:shd w:val="clear" w:color="auto" w:fill="F7F7F7"/>
          </w:tcPr>
          <w:p w14:paraId="071EF47E"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Role-specific web functions, gateway policies, service integration, campus menu display, and validation</w:t>
            </w:r>
          </w:p>
        </w:tc>
        <w:tc>
          <w:tcPr>
            <w:tcW w:w="936" w:type="dxa"/>
            <w:shd w:val="clear" w:color="auto" w:fill="F7F7F7"/>
          </w:tcPr>
          <w:p w14:paraId="49963966"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7</w:t>
            </w:r>
          </w:p>
        </w:tc>
      </w:tr>
      <w:tr w:rsidR="00640B2D" w:rsidRPr="00F62F15" w14:paraId="1E6C1FCF" w14:textId="77777777">
        <w:trPr>
          <w:jc w:val="center"/>
        </w:trPr>
        <w:tc>
          <w:tcPr>
            <w:tcW w:w="648" w:type="dxa"/>
          </w:tcPr>
          <w:p w14:paraId="585893E7"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5</w:t>
            </w:r>
          </w:p>
        </w:tc>
        <w:tc>
          <w:tcPr>
            <w:tcW w:w="2232" w:type="dxa"/>
          </w:tcPr>
          <w:p w14:paraId="592EFA41"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Cloud platform and messaging</w:t>
            </w:r>
          </w:p>
        </w:tc>
        <w:tc>
          <w:tcPr>
            <w:tcW w:w="5832" w:type="dxa"/>
          </w:tcPr>
          <w:p w14:paraId="7A437AAF"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Container Apps, registry, PostgreSQL, Service Bus, scaling rules, health probes, logs, and Bicep</w:t>
            </w:r>
          </w:p>
        </w:tc>
        <w:tc>
          <w:tcPr>
            <w:tcW w:w="936" w:type="dxa"/>
          </w:tcPr>
          <w:p w14:paraId="09C67B12"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7</w:t>
            </w:r>
          </w:p>
        </w:tc>
      </w:tr>
      <w:tr w:rsidR="00640B2D" w:rsidRPr="00F62F15" w14:paraId="6D17FC3C" w14:textId="77777777">
        <w:trPr>
          <w:jc w:val="center"/>
        </w:trPr>
        <w:tc>
          <w:tcPr>
            <w:tcW w:w="648" w:type="dxa"/>
            <w:shd w:val="clear" w:color="auto" w:fill="F7F7F7"/>
          </w:tcPr>
          <w:p w14:paraId="350CF981"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6</w:t>
            </w:r>
          </w:p>
        </w:tc>
        <w:tc>
          <w:tcPr>
            <w:tcW w:w="2232" w:type="dxa"/>
            <w:shd w:val="clear" w:color="auto" w:fill="F7F7F7"/>
          </w:tcPr>
          <w:p w14:paraId="4DCC9145"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 xml:space="preserve">CI CD and </w:t>
            </w:r>
            <w:proofErr w:type="spellStart"/>
            <w:r w:rsidRPr="00F62F15">
              <w:rPr>
                <w:rFonts w:ascii="Times New Roman" w:hAnsi="Times New Roman"/>
                <w:sz w:val="16"/>
              </w:rPr>
              <w:t>DevSecOps</w:t>
            </w:r>
            <w:proofErr w:type="spellEnd"/>
          </w:p>
        </w:tc>
        <w:tc>
          <w:tcPr>
            <w:tcW w:w="5832" w:type="dxa"/>
            <w:shd w:val="clear" w:color="auto" w:fill="F7F7F7"/>
          </w:tcPr>
          <w:p w14:paraId="3BEDE1E1"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Per-service builds, tests, scans, image publishing, deployment, smoke tests, and rollback</w:t>
            </w:r>
          </w:p>
        </w:tc>
        <w:tc>
          <w:tcPr>
            <w:tcW w:w="936" w:type="dxa"/>
            <w:shd w:val="clear" w:color="auto" w:fill="F7F7F7"/>
          </w:tcPr>
          <w:p w14:paraId="2FFF381A"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5</w:t>
            </w:r>
          </w:p>
        </w:tc>
      </w:tr>
      <w:tr w:rsidR="00640B2D" w:rsidRPr="00F62F15" w14:paraId="55791690" w14:textId="77777777">
        <w:trPr>
          <w:jc w:val="center"/>
        </w:trPr>
        <w:tc>
          <w:tcPr>
            <w:tcW w:w="648" w:type="dxa"/>
          </w:tcPr>
          <w:p w14:paraId="4C346BE1"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7</w:t>
            </w:r>
          </w:p>
        </w:tc>
        <w:tc>
          <w:tcPr>
            <w:tcW w:w="2232" w:type="dxa"/>
          </w:tcPr>
          <w:p w14:paraId="121B67BD"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Scalability and resilience validation</w:t>
            </w:r>
          </w:p>
        </w:tc>
        <w:tc>
          <w:tcPr>
            <w:tcW w:w="5832" w:type="dxa"/>
          </w:tcPr>
          <w:p w14:paraId="40677EB3"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k6 scripts, queue-load test, concurrency tests, replica evidence, and failure recovery</w:t>
            </w:r>
          </w:p>
        </w:tc>
        <w:tc>
          <w:tcPr>
            <w:tcW w:w="936" w:type="dxa"/>
          </w:tcPr>
          <w:p w14:paraId="5D7465FA"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4</w:t>
            </w:r>
          </w:p>
        </w:tc>
      </w:tr>
      <w:tr w:rsidR="00640B2D" w:rsidRPr="00F62F15" w14:paraId="4CEB90E6" w14:textId="77777777">
        <w:trPr>
          <w:jc w:val="center"/>
        </w:trPr>
        <w:tc>
          <w:tcPr>
            <w:tcW w:w="648" w:type="dxa"/>
            <w:shd w:val="clear" w:color="auto" w:fill="F7F7F7"/>
          </w:tcPr>
          <w:p w14:paraId="21637DFD"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8</w:t>
            </w:r>
          </w:p>
        </w:tc>
        <w:tc>
          <w:tcPr>
            <w:tcW w:w="2232" w:type="dxa"/>
            <w:shd w:val="clear" w:color="auto" w:fill="F7F7F7"/>
          </w:tcPr>
          <w:p w14:paraId="00E50710"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Documentation and presentation</w:t>
            </w:r>
          </w:p>
        </w:tc>
        <w:tc>
          <w:tcPr>
            <w:tcW w:w="5832" w:type="dxa"/>
            <w:shd w:val="clear" w:color="auto" w:fill="F7F7F7"/>
          </w:tcPr>
          <w:p w14:paraId="6D4CB478"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Progress reports, architecture evidence, final report, demonstration script, and rehearsal</w:t>
            </w:r>
          </w:p>
        </w:tc>
        <w:tc>
          <w:tcPr>
            <w:tcW w:w="936" w:type="dxa"/>
            <w:shd w:val="clear" w:color="auto" w:fill="F7F7F7"/>
          </w:tcPr>
          <w:p w14:paraId="32B4609F" w14:textId="77777777" w:rsidR="00640B2D" w:rsidRPr="00F62F15" w:rsidRDefault="00000000">
            <w:pPr>
              <w:spacing w:after="0" w:line="240" w:lineRule="auto"/>
              <w:rPr>
                <w:rFonts w:ascii="Times New Roman" w:hAnsi="Times New Roman"/>
              </w:rPr>
            </w:pPr>
            <w:r w:rsidRPr="00F62F15">
              <w:rPr>
                <w:rFonts w:ascii="Times New Roman" w:hAnsi="Times New Roman"/>
                <w:sz w:val="16"/>
              </w:rPr>
              <w:t>3</w:t>
            </w:r>
          </w:p>
        </w:tc>
      </w:tr>
      <w:tr w:rsidR="00640B2D" w:rsidRPr="00F62F15" w14:paraId="59AAA475" w14:textId="77777777">
        <w:trPr>
          <w:jc w:val="center"/>
        </w:trPr>
        <w:tc>
          <w:tcPr>
            <w:tcW w:w="648" w:type="dxa"/>
            <w:shd w:val="clear" w:color="auto" w:fill="E2E2E2"/>
          </w:tcPr>
          <w:p w14:paraId="042298EE" w14:textId="77777777" w:rsidR="00640B2D" w:rsidRPr="00F62F15" w:rsidRDefault="00640B2D">
            <w:pPr>
              <w:spacing w:after="0" w:line="240" w:lineRule="auto"/>
              <w:rPr>
                <w:rFonts w:ascii="Times New Roman" w:hAnsi="Times New Roman"/>
              </w:rPr>
            </w:pPr>
          </w:p>
        </w:tc>
        <w:tc>
          <w:tcPr>
            <w:tcW w:w="2232" w:type="dxa"/>
            <w:shd w:val="clear" w:color="auto" w:fill="E2E2E2"/>
          </w:tcPr>
          <w:p w14:paraId="3E519FFA" w14:textId="77777777" w:rsidR="00640B2D" w:rsidRPr="00F62F15" w:rsidRDefault="00000000">
            <w:pPr>
              <w:spacing w:after="0" w:line="240" w:lineRule="auto"/>
              <w:rPr>
                <w:rFonts w:ascii="Times New Roman" w:hAnsi="Times New Roman"/>
              </w:rPr>
            </w:pPr>
            <w:r w:rsidRPr="00F62F15">
              <w:rPr>
                <w:rFonts w:ascii="Times New Roman" w:hAnsi="Times New Roman"/>
                <w:b/>
                <w:sz w:val="16"/>
              </w:rPr>
              <w:t>Total</w:t>
            </w:r>
          </w:p>
        </w:tc>
        <w:tc>
          <w:tcPr>
            <w:tcW w:w="5832" w:type="dxa"/>
            <w:shd w:val="clear" w:color="auto" w:fill="E2E2E2"/>
          </w:tcPr>
          <w:p w14:paraId="5C731887" w14:textId="77777777" w:rsidR="00640B2D" w:rsidRPr="00F62F15" w:rsidRDefault="00640B2D">
            <w:pPr>
              <w:spacing w:after="0" w:line="240" w:lineRule="auto"/>
              <w:rPr>
                <w:rFonts w:ascii="Times New Roman" w:hAnsi="Times New Roman"/>
              </w:rPr>
            </w:pPr>
          </w:p>
        </w:tc>
        <w:tc>
          <w:tcPr>
            <w:tcW w:w="936" w:type="dxa"/>
            <w:shd w:val="clear" w:color="auto" w:fill="E2E2E2"/>
          </w:tcPr>
          <w:p w14:paraId="4680E3A9" w14:textId="77777777" w:rsidR="00640B2D" w:rsidRPr="00F62F15" w:rsidRDefault="00000000">
            <w:pPr>
              <w:spacing w:after="0" w:line="240" w:lineRule="auto"/>
              <w:rPr>
                <w:rFonts w:ascii="Times New Roman" w:hAnsi="Times New Roman"/>
              </w:rPr>
            </w:pPr>
            <w:r w:rsidRPr="00F62F15">
              <w:rPr>
                <w:rFonts w:ascii="Times New Roman" w:hAnsi="Times New Roman"/>
                <w:b/>
                <w:sz w:val="16"/>
              </w:rPr>
              <w:t>50</w:t>
            </w:r>
          </w:p>
        </w:tc>
      </w:tr>
    </w:tbl>
    <w:p w14:paraId="02740316" w14:textId="77777777" w:rsidR="00640B2D" w:rsidRPr="00F62F15" w:rsidRDefault="00640B2D">
      <w:pPr>
        <w:spacing w:after="0"/>
        <w:rPr>
          <w:rFonts w:ascii="Times New Roman" w:hAnsi="Times New Roman"/>
        </w:rPr>
      </w:pPr>
    </w:p>
    <w:sectPr w:rsidR="00640B2D" w:rsidRPr="00F62F15">
      <w:headerReference w:type="even" r:id="rId8"/>
      <w:headerReference w:type="default" r:id="rId9"/>
      <w:footerReference w:type="even" r:id="rId10"/>
      <w:footerReference w:type="default" r:id="rId11"/>
      <w:headerReference w:type="first" r:id="rId12"/>
      <w:footerReference w:type="first" r:id="rId13"/>
      <w:pgSz w:w="12240" w:h="15840"/>
      <w:pgMar w:top="1181" w:right="1368" w:bottom="1037" w:left="13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611A5" w14:textId="77777777" w:rsidR="007E1546" w:rsidRDefault="007E1546">
      <w:pPr>
        <w:spacing w:line="240" w:lineRule="auto"/>
      </w:pPr>
      <w:r>
        <w:separator/>
      </w:r>
    </w:p>
  </w:endnote>
  <w:endnote w:type="continuationSeparator" w:id="0">
    <w:p w14:paraId="130023AE" w14:textId="77777777" w:rsidR="007E1546" w:rsidRDefault="007E15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C1D7" w14:textId="77777777" w:rsidR="00640B2D" w:rsidRDefault="00640B2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06BB" w14:textId="77777777" w:rsidR="00640B2D" w:rsidRDefault="00000000">
    <w:pPr>
      <w:pStyle w:val="ab"/>
      <w:spacing w:line="240" w:lineRule="aut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9F62" w14:textId="77777777" w:rsidR="00640B2D" w:rsidRDefault="00640B2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4CC2" w14:textId="77777777" w:rsidR="007E1546" w:rsidRDefault="007E1546">
      <w:pPr>
        <w:spacing w:after="0" w:line="240" w:lineRule="auto"/>
      </w:pPr>
      <w:r>
        <w:separator/>
      </w:r>
    </w:p>
  </w:footnote>
  <w:footnote w:type="continuationSeparator" w:id="0">
    <w:p w14:paraId="55569A40" w14:textId="77777777" w:rsidR="007E1546" w:rsidRDefault="007E1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DA23" w14:textId="77777777" w:rsidR="00640B2D" w:rsidRDefault="00640B2D">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EF07" w14:textId="77777777" w:rsidR="00640B2D" w:rsidRDefault="00640B2D">
    <w:pPr>
      <w:pStyle w:val="ad"/>
      <w:spacing w:line="240"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801E" w14:textId="77777777" w:rsidR="00640B2D" w:rsidRDefault="00640B2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C89C0"/>
    <w:multiLevelType w:val="singleLevel"/>
    <w:tmpl w:val="840C89C0"/>
    <w:lvl w:ilvl="0">
      <w:start w:val="6"/>
      <w:numFmt w:val="decimal"/>
      <w:suff w:val="space"/>
      <w:lvlText w:val="%1."/>
      <w:lvlJc w:val="left"/>
    </w:lvl>
  </w:abstractNum>
  <w:abstractNum w:abstractNumId="1" w15:restartNumberingAfterBreak="0">
    <w:nsid w:val="002E2301"/>
    <w:multiLevelType w:val="singleLevel"/>
    <w:tmpl w:val="002E2301"/>
    <w:lvl w:ilvl="0">
      <w:start w:val="1"/>
      <w:numFmt w:val="bullet"/>
      <w:pStyle w:val="a"/>
      <w:lvlText w:val="•"/>
      <w:lvlJc w:val="left"/>
      <w:pPr>
        <w:tabs>
          <w:tab w:val="left" w:pos="540"/>
        </w:tabs>
        <w:ind w:left="540" w:hanging="280"/>
      </w:pPr>
    </w:lvl>
  </w:abstractNum>
  <w:abstractNum w:abstractNumId="2" w15:restartNumberingAfterBreak="0">
    <w:nsid w:val="1F2A3878"/>
    <w:multiLevelType w:val="multilevel"/>
    <w:tmpl w:val="1F2A38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9045338">
    <w:abstractNumId w:val="1"/>
  </w:num>
  <w:num w:numId="2" w16cid:durableId="996952995">
    <w:abstractNumId w:val="2"/>
  </w:num>
  <w:num w:numId="3" w16cid:durableId="190356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7A"/>
    <w:rsid w:val="0015074B"/>
    <w:rsid w:val="001F4EC7"/>
    <w:rsid w:val="00286997"/>
    <w:rsid w:val="0029639D"/>
    <w:rsid w:val="00326F90"/>
    <w:rsid w:val="003C798E"/>
    <w:rsid w:val="004A12D3"/>
    <w:rsid w:val="00640B2D"/>
    <w:rsid w:val="006A2556"/>
    <w:rsid w:val="006C21AD"/>
    <w:rsid w:val="007B32F4"/>
    <w:rsid w:val="007B71A6"/>
    <w:rsid w:val="007E1546"/>
    <w:rsid w:val="00A11134"/>
    <w:rsid w:val="00AA1D8D"/>
    <w:rsid w:val="00B47730"/>
    <w:rsid w:val="00CB0664"/>
    <w:rsid w:val="00CE13DE"/>
    <w:rsid w:val="00EC7056"/>
    <w:rsid w:val="00F62B95"/>
    <w:rsid w:val="00F62F15"/>
    <w:rsid w:val="00FC693F"/>
    <w:rsid w:val="15F01C49"/>
    <w:rsid w:val="19670F04"/>
    <w:rsid w:val="607E0E49"/>
    <w:rsid w:val="791F14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8788AF"/>
  <w14:defaultImageDpi w14:val="300"/>
  <w15:docId w15:val="{79552DCD-E3D7-447F-9E32-6C8E30D66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00" w:line="259" w:lineRule="auto"/>
      <w:jc w:val="both"/>
    </w:pPr>
    <w:rPr>
      <w:rFonts w:ascii="Calibri" w:eastAsia="Calibri" w:hAnsi="Calibri" w:cs="Calibri"/>
      <w:color w:val="000000"/>
      <w:sz w:val="21"/>
      <w:szCs w:val="22"/>
      <w:lang w:eastAsia="en-US"/>
    </w:rPr>
  </w:style>
  <w:style w:type="paragraph" w:styleId="1">
    <w:name w:val="heading 1"/>
    <w:basedOn w:val="a0"/>
    <w:next w:val="a0"/>
    <w:link w:val="10"/>
    <w:uiPriority w:val="9"/>
    <w:qFormat/>
    <w:pPr>
      <w:keepNext/>
      <w:keepLines/>
      <w:spacing w:before="200" w:line="240" w:lineRule="auto"/>
      <w:outlineLvl w:val="0"/>
    </w:pPr>
    <w:rPr>
      <w:b/>
      <w:bCs/>
      <w:sz w:val="24"/>
      <w:szCs w:val="28"/>
    </w:rPr>
  </w:style>
  <w:style w:type="paragraph" w:styleId="2">
    <w:name w:val="heading 2"/>
    <w:basedOn w:val="a0"/>
    <w:next w:val="a0"/>
    <w:link w:val="20"/>
    <w:uiPriority w:val="9"/>
    <w:unhideWhenUsed/>
    <w:qFormat/>
    <w:pPr>
      <w:keepNext/>
      <w:keepLines/>
      <w:spacing w:before="160" w:after="80" w:line="240" w:lineRule="auto"/>
      <w:outlineLvl w:val="1"/>
    </w:pPr>
    <w:rPr>
      <w:b/>
      <w:bCs/>
      <w:szCs w:val="26"/>
    </w:rPr>
  </w:style>
  <w:style w:type="paragraph" w:styleId="3">
    <w:name w:val="heading 3"/>
    <w:basedOn w:val="a0"/>
    <w:next w:val="a0"/>
    <w:link w:val="30"/>
    <w:uiPriority w:val="9"/>
    <w:unhideWhenUsed/>
    <w:qFormat/>
    <w:pPr>
      <w:keepNext/>
      <w:keepLines/>
      <w:outlineLvl w:val="2"/>
    </w:pPr>
    <w:rPr>
      <w:b/>
      <w:bCs/>
      <w:sz w:val="22"/>
    </w:rPr>
  </w:style>
  <w:style w:type="paragraph" w:styleId="4">
    <w:name w:val="heading 4"/>
    <w:basedOn w:val="a0"/>
    <w:next w:val="a0"/>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0"/>
    <w:next w:val="a0"/>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1">
    <w:name w:val="List 3"/>
    <w:basedOn w:val="a0"/>
    <w:uiPriority w:val="99"/>
    <w:unhideWhenUsed/>
    <w:pPr>
      <w:ind w:left="1080" w:hanging="360"/>
      <w:contextualSpacing/>
    </w:pPr>
  </w:style>
  <w:style w:type="paragraph" w:styleId="21">
    <w:name w:val="List Number 2"/>
    <w:basedOn w:val="a0"/>
    <w:uiPriority w:val="99"/>
    <w:unhideWhenUsed/>
    <w:pPr>
      <w:tabs>
        <w:tab w:val="left" w:pos="360"/>
      </w:tabs>
      <w:contextualSpacing/>
    </w:pPr>
  </w:style>
  <w:style w:type="paragraph" w:styleId="a6">
    <w:name w:val="List Number"/>
    <w:basedOn w:val="a0"/>
    <w:uiPriority w:val="99"/>
    <w:unhideWhenUsed/>
    <w:pPr>
      <w:tabs>
        <w:tab w:val="left" w:pos="360"/>
      </w:tabs>
      <w:contextualSpacing/>
    </w:pPr>
  </w:style>
  <w:style w:type="paragraph" w:styleId="a7">
    <w:name w:val="caption"/>
    <w:basedOn w:val="a0"/>
    <w:next w:val="a0"/>
    <w:uiPriority w:val="35"/>
    <w:semiHidden/>
    <w:unhideWhenUsed/>
    <w:qFormat/>
    <w:rPr>
      <w:b/>
      <w:bCs/>
      <w:color w:val="4F81BD" w:themeColor="accent1"/>
      <w:sz w:val="18"/>
      <w:szCs w:val="18"/>
    </w:rPr>
  </w:style>
  <w:style w:type="paragraph" w:styleId="a">
    <w:name w:val="List Bullet"/>
    <w:basedOn w:val="a0"/>
    <w:uiPriority w:val="99"/>
    <w:unhideWhenUsed/>
    <w:pPr>
      <w:numPr>
        <w:numId w:val="1"/>
      </w:numPr>
      <w:contextualSpacing/>
    </w:pPr>
  </w:style>
  <w:style w:type="paragraph" w:styleId="32">
    <w:name w:val="Body Text 3"/>
    <w:basedOn w:val="a0"/>
    <w:link w:val="33"/>
    <w:uiPriority w:val="99"/>
    <w:unhideWhenUsed/>
    <w:qFormat/>
    <w:pPr>
      <w:spacing w:after="120"/>
    </w:pPr>
    <w:rPr>
      <w:sz w:val="16"/>
      <w:szCs w:val="16"/>
    </w:rPr>
  </w:style>
  <w:style w:type="paragraph" w:styleId="34">
    <w:name w:val="List Bullet 3"/>
    <w:basedOn w:val="a0"/>
    <w:uiPriority w:val="99"/>
    <w:unhideWhenUsed/>
    <w:qFormat/>
    <w:pPr>
      <w:tabs>
        <w:tab w:val="left" w:pos="360"/>
      </w:tabs>
      <w:contextualSpacing/>
    </w:pPr>
  </w:style>
  <w:style w:type="paragraph" w:styleId="a8">
    <w:name w:val="Body Text"/>
    <w:basedOn w:val="a0"/>
    <w:link w:val="a9"/>
    <w:uiPriority w:val="99"/>
    <w:unhideWhenUsed/>
    <w:pPr>
      <w:spacing w:after="120"/>
    </w:pPr>
  </w:style>
  <w:style w:type="paragraph" w:styleId="35">
    <w:name w:val="List Number 3"/>
    <w:basedOn w:val="a0"/>
    <w:uiPriority w:val="99"/>
    <w:unhideWhenUsed/>
    <w:qFormat/>
    <w:pPr>
      <w:tabs>
        <w:tab w:val="left" w:pos="360"/>
      </w:tabs>
      <w:contextualSpacing/>
    </w:pPr>
  </w:style>
  <w:style w:type="paragraph" w:styleId="22">
    <w:name w:val="List 2"/>
    <w:basedOn w:val="a0"/>
    <w:uiPriority w:val="99"/>
    <w:unhideWhenUsed/>
    <w:qFormat/>
    <w:pPr>
      <w:ind w:left="720" w:hanging="360"/>
      <w:contextualSpacing/>
    </w:pPr>
  </w:style>
  <w:style w:type="paragraph" w:styleId="aa">
    <w:name w:val="List Continue"/>
    <w:basedOn w:val="a0"/>
    <w:uiPriority w:val="99"/>
    <w:unhideWhenUsed/>
    <w:qFormat/>
    <w:pPr>
      <w:spacing w:after="120"/>
      <w:ind w:left="360"/>
      <w:contextualSpacing/>
    </w:pPr>
  </w:style>
  <w:style w:type="paragraph" w:styleId="23">
    <w:name w:val="List Bullet 2"/>
    <w:basedOn w:val="a0"/>
    <w:uiPriority w:val="99"/>
    <w:unhideWhenUsed/>
    <w:pPr>
      <w:tabs>
        <w:tab w:val="left" w:pos="360"/>
      </w:tabs>
      <w:contextualSpacing/>
    </w:pPr>
  </w:style>
  <w:style w:type="paragraph" w:styleId="ab">
    <w:name w:val="footer"/>
    <w:basedOn w:val="a0"/>
    <w:link w:val="ac"/>
    <w:uiPriority w:val="99"/>
    <w:unhideWhenUsed/>
    <w:qFormat/>
    <w:pPr>
      <w:tabs>
        <w:tab w:val="center" w:pos="4680"/>
        <w:tab w:val="right" w:pos="9360"/>
      </w:tabs>
      <w:spacing w:after="0"/>
    </w:pPr>
  </w:style>
  <w:style w:type="paragraph" w:styleId="ad">
    <w:name w:val="header"/>
    <w:basedOn w:val="a0"/>
    <w:link w:val="ae"/>
    <w:uiPriority w:val="99"/>
    <w:unhideWhenUsed/>
    <w:pPr>
      <w:tabs>
        <w:tab w:val="center" w:pos="4680"/>
        <w:tab w:val="right" w:pos="9360"/>
      </w:tabs>
      <w:spacing w:after="0"/>
    </w:pPr>
  </w:style>
  <w:style w:type="paragraph" w:styleId="af">
    <w:name w:val="Subtitle"/>
    <w:basedOn w:val="a0"/>
    <w:next w:val="a0"/>
    <w:link w:val="af0"/>
    <w:uiPriority w:val="11"/>
    <w:qFormat/>
    <w:rPr>
      <w:rFonts w:asciiTheme="majorHAnsi" w:eastAsiaTheme="majorEastAsia" w:hAnsiTheme="majorHAnsi" w:cstheme="majorBidi"/>
      <w:b/>
      <w:i/>
      <w:iCs/>
      <w:color w:val="4F81BD" w:themeColor="accent1"/>
      <w:spacing w:val="15"/>
      <w:sz w:val="24"/>
      <w:szCs w:val="24"/>
    </w:rPr>
  </w:style>
  <w:style w:type="paragraph" w:styleId="af1">
    <w:name w:val="List"/>
    <w:basedOn w:val="a0"/>
    <w:uiPriority w:val="99"/>
    <w:unhideWhenUsed/>
    <w:pPr>
      <w:ind w:left="360" w:hanging="360"/>
      <w:contextualSpacing/>
    </w:pPr>
  </w:style>
  <w:style w:type="paragraph" w:styleId="24">
    <w:name w:val="Body Text 2"/>
    <w:basedOn w:val="a0"/>
    <w:link w:val="25"/>
    <w:uiPriority w:val="99"/>
    <w:unhideWhenUsed/>
    <w:pPr>
      <w:spacing w:after="120" w:line="480" w:lineRule="auto"/>
    </w:pPr>
  </w:style>
  <w:style w:type="paragraph" w:styleId="26">
    <w:name w:val="List Continue 2"/>
    <w:basedOn w:val="a0"/>
    <w:uiPriority w:val="99"/>
    <w:unhideWhenUsed/>
    <w:pPr>
      <w:spacing w:after="120"/>
      <w:ind w:left="720"/>
      <w:contextualSpacing/>
    </w:pPr>
  </w:style>
  <w:style w:type="paragraph" w:styleId="af2">
    <w:name w:val="Normal (Web)"/>
    <w:basedOn w:val="a0"/>
    <w:uiPriority w:val="99"/>
    <w:semiHidden/>
    <w:unhideWhenUsed/>
    <w:pPr>
      <w:spacing w:beforeAutospacing="1" w:afterAutospacing="1"/>
      <w:jc w:val="left"/>
    </w:pPr>
    <w:rPr>
      <w:rFonts w:ascii="宋体" w:eastAsia="宋体" w:hAnsi="宋体" w:cs="宋体"/>
      <w:color w:val="auto"/>
      <w:sz w:val="24"/>
      <w:szCs w:val="24"/>
      <w:lang w:eastAsia="zh-CN"/>
    </w:rPr>
  </w:style>
  <w:style w:type="paragraph" w:styleId="36">
    <w:name w:val="List Continue 3"/>
    <w:basedOn w:val="a0"/>
    <w:uiPriority w:val="99"/>
    <w:unhideWhenUsed/>
    <w:qFormat/>
    <w:pPr>
      <w:spacing w:after="120"/>
      <w:ind w:left="1080"/>
      <w:contextualSpacing/>
    </w:pPr>
  </w:style>
  <w:style w:type="paragraph" w:styleId="af3">
    <w:name w:val="Title"/>
    <w:basedOn w:val="a0"/>
    <w:next w:val="a0"/>
    <w:link w:val="af4"/>
    <w:uiPriority w:val="10"/>
    <w:qFormat/>
    <w:pPr>
      <w:spacing w:after="300"/>
      <w:contextualSpacing/>
    </w:pPr>
    <w:rPr>
      <w:rFonts w:asciiTheme="majorHAnsi" w:eastAsiaTheme="majorEastAsia" w:hAnsiTheme="majorHAnsi" w:cstheme="majorBidi"/>
      <w:b/>
      <w:spacing w:val="5"/>
      <w:kern w:val="28"/>
      <w:sz w:val="40"/>
      <w:szCs w:val="52"/>
    </w:rPr>
  </w:style>
  <w:style w:type="table" w:styleId="af5">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2"/>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2"/>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2"/>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2"/>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2"/>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2"/>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2"/>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2"/>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2"/>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2"/>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1"/>
    <w:uiPriority w:val="22"/>
    <w:qFormat/>
    <w:rPr>
      <w:b/>
      <w:bCs/>
    </w:rPr>
  </w:style>
  <w:style w:type="character" w:styleId="afe">
    <w:name w:val="Emphasis"/>
    <w:basedOn w:val="a1"/>
    <w:uiPriority w:val="20"/>
    <w:qFormat/>
    <w:rPr>
      <w:i/>
      <w:iCs/>
    </w:rPr>
  </w:style>
  <w:style w:type="character" w:customStyle="1" w:styleId="ae">
    <w:name w:val="页眉 字符"/>
    <w:basedOn w:val="a1"/>
    <w:link w:val="ad"/>
    <w:uiPriority w:val="99"/>
    <w:qFormat/>
  </w:style>
  <w:style w:type="character" w:customStyle="1" w:styleId="ac">
    <w:name w:val="页脚 字符"/>
    <w:basedOn w:val="a1"/>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1"/>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qFormat/>
    <w:rPr>
      <w:rFonts w:asciiTheme="majorHAnsi" w:eastAsiaTheme="majorEastAsia" w:hAnsiTheme="majorHAnsi" w:cstheme="majorBidi"/>
      <w:b/>
      <w:bCs/>
      <w:color w:val="4F81BD" w:themeColor="accent1"/>
    </w:rPr>
  </w:style>
  <w:style w:type="character" w:customStyle="1" w:styleId="af4">
    <w:name w:val="标题 字符"/>
    <w:basedOn w:val="a1"/>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1"/>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0"/>
    <w:uiPriority w:val="34"/>
    <w:qFormat/>
    <w:pPr>
      <w:ind w:left="720"/>
      <w:contextualSpacing/>
    </w:pPr>
  </w:style>
  <w:style w:type="character" w:customStyle="1" w:styleId="a9">
    <w:name w:val="正文文本 字符"/>
    <w:basedOn w:val="a1"/>
    <w:link w:val="a8"/>
    <w:uiPriority w:val="99"/>
    <w:qFormat/>
  </w:style>
  <w:style w:type="character" w:customStyle="1" w:styleId="25">
    <w:name w:val="正文文本 2 字符"/>
    <w:basedOn w:val="a1"/>
    <w:link w:val="24"/>
    <w:uiPriority w:val="99"/>
    <w:qFormat/>
  </w:style>
  <w:style w:type="character" w:customStyle="1" w:styleId="33">
    <w:name w:val="正文文本 3 字符"/>
    <w:basedOn w:val="a1"/>
    <w:link w:val="32"/>
    <w:uiPriority w:val="99"/>
    <w:qFormat/>
    <w:rPr>
      <w:sz w:val="16"/>
      <w:szCs w:val="16"/>
    </w:rPr>
  </w:style>
  <w:style w:type="character" w:customStyle="1" w:styleId="a5">
    <w:name w:val="宏文本 字符"/>
    <w:basedOn w:val="a1"/>
    <w:link w:val="a4"/>
    <w:uiPriority w:val="99"/>
    <w:qFormat/>
    <w:rPr>
      <w:rFonts w:ascii="Courier" w:hAnsi="Courier"/>
      <w:sz w:val="20"/>
      <w:szCs w:val="20"/>
    </w:rPr>
  </w:style>
  <w:style w:type="paragraph" w:styleId="aff1">
    <w:name w:val="Quote"/>
    <w:basedOn w:val="a0"/>
    <w:next w:val="a0"/>
    <w:link w:val="aff2"/>
    <w:uiPriority w:val="29"/>
    <w:qFormat/>
    <w:rPr>
      <w:i/>
      <w:iCs/>
      <w:color w:val="000000" w:themeColor="text1"/>
    </w:rPr>
  </w:style>
  <w:style w:type="character" w:customStyle="1" w:styleId="aff2">
    <w:name w:val="引用 字符"/>
    <w:basedOn w:val="a1"/>
    <w:link w:val="aff1"/>
    <w:uiPriority w:val="29"/>
    <w:qFormat/>
    <w:rPr>
      <w:i/>
      <w:iCs/>
      <w:color w:val="000000" w:themeColor="text1"/>
    </w:rPr>
  </w:style>
  <w:style w:type="character" w:customStyle="1" w:styleId="40">
    <w:name w:val="标题 4 字符"/>
    <w:basedOn w:val="a1"/>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1"/>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1"/>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0"/>
    <w:next w:val="a0"/>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1"/>
    <w:link w:val="aff3"/>
    <w:uiPriority w:val="30"/>
    <w:qFormat/>
    <w:rPr>
      <w:b/>
      <w:bCs/>
      <w:i/>
      <w:iCs/>
      <w:color w:val="4F81BD" w:themeColor="accent1"/>
    </w:rPr>
  </w:style>
  <w:style w:type="character" w:customStyle="1" w:styleId="14">
    <w:name w:val="不明显强调1"/>
    <w:basedOn w:val="a1"/>
    <w:uiPriority w:val="19"/>
    <w:qFormat/>
    <w:rPr>
      <w:i/>
      <w:iCs/>
      <w:color w:val="7F7F7F" w:themeColor="text1" w:themeTint="80"/>
    </w:rPr>
  </w:style>
  <w:style w:type="character" w:customStyle="1" w:styleId="15">
    <w:name w:val="明显强调1"/>
    <w:basedOn w:val="a1"/>
    <w:uiPriority w:val="21"/>
    <w:qFormat/>
    <w:rPr>
      <w:b/>
      <w:bCs/>
      <w:i/>
      <w:iCs/>
      <w:color w:val="4F81BD" w:themeColor="accent1"/>
    </w:rPr>
  </w:style>
  <w:style w:type="character" w:customStyle="1" w:styleId="16">
    <w:name w:val="不明显参考1"/>
    <w:basedOn w:val="a1"/>
    <w:uiPriority w:val="31"/>
    <w:qFormat/>
    <w:rPr>
      <w:smallCaps/>
      <w:color w:val="C0504D" w:themeColor="accent2"/>
      <w:u w:val="single"/>
    </w:rPr>
  </w:style>
  <w:style w:type="character" w:customStyle="1" w:styleId="17">
    <w:name w:val="明显参考1"/>
    <w:basedOn w:val="a1"/>
    <w:uiPriority w:val="32"/>
    <w:qFormat/>
    <w:rPr>
      <w:b/>
      <w:bCs/>
      <w:smallCaps/>
      <w:color w:val="C0504D" w:themeColor="accent2"/>
      <w:spacing w:val="5"/>
      <w:u w:val="single"/>
    </w:rPr>
  </w:style>
  <w:style w:type="character" w:customStyle="1" w:styleId="18">
    <w:name w:val="书籍标题1"/>
    <w:basedOn w:val="a1"/>
    <w:uiPriority w:val="33"/>
    <w:qFormat/>
    <w:rPr>
      <w:b/>
      <w:bCs/>
      <w:smallCaps/>
      <w:spacing w:val="5"/>
    </w:rPr>
  </w:style>
  <w:style w:type="paragraph" w:customStyle="1" w:styleId="TOC1">
    <w:name w:val="TOC 标题1"/>
    <w:basedOn w:val="1"/>
    <w:next w:val="a0"/>
    <w:uiPriority w:val="39"/>
    <w:semiHidden/>
    <w:unhideWhenUsed/>
    <w:qFormat/>
    <w:pPr>
      <w:outlineLvl w:val="9"/>
    </w:pPr>
  </w:style>
  <w:style w:type="paragraph" w:customStyle="1" w:styleId="isselectedend">
    <w:name w:val="isselectedend"/>
    <w:basedOn w:val="a0"/>
    <w:qFormat/>
    <w:pPr>
      <w:spacing w:beforeAutospacing="1" w:afterAutospacing="1"/>
      <w:jc w:val="left"/>
    </w:pPr>
    <w:rPr>
      <w:rFonts w:ascii="宋体" w:eastAsia="宋体" w:hAnsi="宋体" w:cs="宋体"/>
      <w:color w:val="auto"/>
      <w:sz w:val="24"/>
      <w:szCs w:val="24"/>
      <w:lang w:eastAsia="zh-CN"/>
    </w:rPr>
  </w:style>
  <w:style w:type="character" w:customStyle="1" w:styleId="apple-converted-space">
    <w:name w:val="apple-converted-space"/>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1962</Words>
  <Characters>12838</Characters>
  <Application>Microsoft Office Word</Application>
  <DocSecurity>0</DocSecurity>
  <Lines>346</Lines>
  <Paragraphs>231</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JiKeDa Cloud Native Campus Food Service Platform Project Proposal</dc:title>
  <dc:subject>Revised microservice-oriented architecture proposal</dc:subject>
  <dc:creator>SE34FT Team 3</dc:creator>
  <cp:keywords>cloud native, microservices, scalability, Azure, platform engineering</cp:keywords>
  <dc:description>generated by python-docx</dc:description>
  <cp:lastModifiedBy>Tang, Jinfan</cp:lastModifiedBy>
  <cp:revision>8</cp:revision>
  <dcterms:created xsi:type="dcterms:W3CDTF">2013-12-23T23:15:00Z</dcterms:created>
  <dcterms:modified xsi:type="dcterms:W3CDTF">2026-10-06T06:48:00Z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eyJoZGlkIjoiYTY0ZDIwOWQ3YzkxZDM1MDRlNDAxZDcyZDJkODJmZjUiLCJ1c2VySWQiOiI2NDE5OTI3ODQifQ==</vt:lpwstr>
  </property>
  <property fmtid="{D5CDD505-2E9C-101B-9397-08002B2CF9AE}" pid="3" name="KSOProductBuildVer">
    <vt:lpwstr>2052-12.1.0.28043</vt:lpwstr>
  </property>
  <property fmtid="{D5CDD505-2E9C-101B-9397-08002B2CF9AE}" pid="4" name="ICV">
    <vt:lpwstr>E3EB3F264D2A4966A2D8D8746200828A_12</vt:lpwstr>
  </property>
</Properties>
</file>