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Relevant Links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https://docs.crewai.com/introduction</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https://docs.crewai.com/tools/serperdevtool</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https://docs.crewai.com/tools/dalletool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of the Crew:</w:t>
      </w:r>
    </w:p>
    <w:p w:rsidR="00000000" w:rsidDel="00000000" w:rsidP="00000000" w:rsidRDefault="00000000" w:rsidRPr="00000000" w14:paraId="00000008">
      <w:pPr>
        <w:rPr/>
      </w:pPr>
      <w:r w:rsidDel="00000000" w:rsidR="00000000" w:rsidRPr="00000000">
        <w:rPr>
          <w:rtl w:val="0"/>
        </w:rPr>
        <w:t xml:space="preserve">Write a blog post, with Z number of words, targeting the keyword X for target language Y, according to specified guidelines and include images every 200 words.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Process: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Agent 1:</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Activity: AI Agent that browses Google looking for the top 5 hits for the keyword X in the language 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Output: A research report about how the top hits use the keyword, the derived keywords and questions / prepositions with key.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Agent 2:</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Activity: Write a blog post about the keyword, derived keywords and questions / prepositions.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Output: A fully edited blog post that follows these guidelines: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Understand Your Reader’s Intent: Most people visit blogs and articles for quick answers or actionable insights—not to read every word. That’s why formatting should align with the reader’s intent, whether it’s a tutorial, opinion piece, or guide.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Make Content Skimmable: With most users scanning instead of reading, formatting for readability is essential. Short paragraphs, bold headings, bullet lists, and clear visual breaks help readers absorb information faster. This structure keeps visitors on your page longer and improves engagement.</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The H1 to H6 Hierarchy: Heading tags aren’t just for visual styling—they’re critical for structure and SEO. Use one H1 for your blog title, H2s for major sections, and H3s for subpoints to help guide readers and search engines through your content. A consistent hierarchy creates a clear content map that improves readability and crawlability.</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Target number of words: to be specified (Z)</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Agent 3:</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Activity: Find images, Memes related to the blog post to be included every 200 words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Output: The description of images, the image urls, or the copy for me to create each of the images.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crewai.com/introduction" TargetMode="External"/><Relationship Id="rId7" Type="http://schemas.openxmlformats.org/officeDocument/2006/relationships/hyperlink" Target="https://docs.crewai.com/tools/serperdevtool" TargetMode="External"/><Relationship Id="rId8" Type="http://schemas.openxmlformats.org/officeDocument/2006/relationships/hyperlink" Target="https://docs.crewai.com/tools/dalle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