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Job title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Entrepreneur in Residence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Job description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We’re looking for an </w:t>
      </w: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Entrepreneur in Residence (m/f/d)</w:t>
      </w:r>
      <w:r w:rsidDel="00000000" w:rsidR="00000000" w:rsidRPr="00000000">
        <w:rPr>
          <w:color w:val="262626"/>
          <w:sz w:val="24"/>
          <w:szCs w:val="24"/>
          <w:rtl w:val="0"/>
        </w:rPr>
        <w:t xml:space="preserve"> to join our BEAT81 team as a hands-on generalist and strategic problem solver. This role is ideal for someone who thrives in fast-paced environments, loves tackling new challenges, and is eager to drive company-wide initiatives.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You’ll work closely with leadership to build dashboards, craft presentations, and lead operational projects that support key strategic goals.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This is a unique opportunity to take on a high-impact, generalist role, where you’ll drive initiatives and create meaningful change across the organization.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—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You will: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Collaborate closely with the leadership team on cross-functional projects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Build dashboards, presentations, and reports that drive strategic decisions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Take full ownership of operational projects from start to finish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Contribute to scaling company-wide initiatives and other key growth areas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Provide flexible support across teams based on evolving business needs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Identify and execute on opportunities to optimize efficiency and impact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You have: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1-2 years experience (including internships and working student job), in startups, consulting, strategy, or operations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Comfort with complexity and the ability to thrive in fast-paced, dynamic environments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Confidence in working independently and managing multiple priorities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Expertise in creating clear, impactful presentations and data-driven dashboards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Strong communication skills, both written and verbal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A proactive, adaptable mindset and a strong drive to take initiative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Nice to have: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SQL skills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Experience in a B2C offline operations environment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Company Name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Beat81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Interviewer’s name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Not available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