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CENTRAL BUILDING: PHOTO SLIDESHOW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Photo: CentralBuilding01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Lower School Art combines two-and three-dimensional skills-oriented programs.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Photo: CentralBuilding02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The Shop especially is considered an experiential room of possibilities. Friends’ interdisciplinary approach teaches children to use three-dimensional expression to enhance creativity and understanding. 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PHOTO: CentralBuilding03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Peeking through the Shop window, you’re likely to see Lower School students donning goggles as they confidently wield hammers, saws, and drills to create three-dimensional art, or perhaps they’re immersed in printmaking, collage, construction, and textile work as they learn by doing. 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PHOTOS: CentralBuidling04 and CentralBuidling05. Repeat below caption for both these photos.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For example, in second grade, the Science, Technology and Art Departments collaborate on a trebuchet—more commonly known as a catapult—project where students connect their knowledge of simple machines with their own designs to build and test their trebuchets, a project that supports and affirms their comprehension, skill, and, most importantly, their confidence. </w:t>
      </w:r>
    </w:p>
    <w:p w:rsidR="00000000" w:rsidDel="00000000" w:rsidP="00000000" w:rsidRDefault="00000000" w:rsidRPr="00000000" w14:paraId="0000000E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PHOTO: CentralBuilding06</w:t>
      </w:r>
    </w:p>
    <w:p w:rsidR="00000000" w:rsidDel="00000000" w:rsidP="00000000" w:rsidRDefault="00000000" w:rsidRPr="00000000" w14:paraId="00000010">
      <w:pPr>
        <w:spacing w:line="276" w:lineRule="auto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Cafeteria</w:t>
      </w:r>
      <w:r w:rsidDel="00000000" w:rsidR="00000000" w:rsidRPr="00000000">
        <w:rPr>
          <w:rtl w:val="0"/>
        </w:rPr>
        <w:t xml:space="preserve">: Each morning, the school doors open to the inviting smells of freshly baked muffins coming from the cafeteria. But the cafeteria is not just a place to eat; it’s a lively community hub where all members of the Friends community—students, parents, caregivers, faculty, and staff— gather for conversation and connection before the school day begins. Delicious, nutritionally-based menus are prepared daily and always offer nut-free, dairy-free, gluten-free, and vegetarian options. For all students at Friends, meals are included in tuition, which means that each student gets to enjoy the variety of meals our dedicated staff prepares. A multicultural menu of hot dishes rotates daily, and a full salad bar and sandwich station offers additional options for our Middle and Upper School students to choose their lunches. Lower Schoolers enjoy supervised family-style dining based on the daily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