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ock-unlock-screen-inter-app-arbitration"/>
    <w:p>
      <w:pPr>
        <w:pStyle w:val="Heading1"/>
      </w:pPr>
      <w:r>
        <w:t xml:space="preserve">LOCK / UNLOCK SCREEN INTER-APP ARBITRATION</w:t>
      </w:r>
    </w:p>
    <w:p>
      <w:pPr>
        <w:pStyle w:val="FirstParagraph"/>
      </w:pPr>
      <w:r>
        <w:rPr>
          <w:i/>
          <w:iCs/>
        </w:rPr>
        <w:t xml:space="preserve">(Architecture Specification — Volume 1)</w:t>
      </w:r>
    </w:p>
    <w:bookmarkEnd w:id="20"/>
    <w:bookmarkStart w:id="22" w:name="X894620627ccadb4e916b4431f62386b83c69499"/>
    <w:p>
      <w:pPr>
        <w:pStyle w:val="Heading1"/>
      </w:pPr>
      <w:r>
        <w:t xml:space="preserve">VOLUME 1 — LOW-LEVEL ARCHITECTURE AND EMBEDDED MODULE SPECIFICATION</w:t>
      </w:r>
    </w:p>
    <w:bookmarkStart w:id="2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volume defines the</w:t>
      </w:r>
      <w:r>
        <w:t xml:space="preserve"> </w:t>
      </w:r>
      <w:r>
        <w:rPr>
          <w:b/>
          <w:bCs/>
        </w:rPr>
        <w:t xml:space="preserve">low-level system architecture</w:t>
      </w:r>
      <w:r>
        <w:t xml:space="preserve"> </w:t>
      </w:r>
      <w:r>
        <w:t xml:space="preserve">for the Lock / Unlock Screen Inter-App Arbitration framework implemented between the two host applications: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MetroPlay</w:t>
      </w:r>
      <w:r>
        <w:t xml:space="preserve"> </w:t>
      </w:r>
      <w:r>
        <w:t xml:space="preserve">(Sliide)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MetroZone</w:t>
      </w:r>
      <w:r>
        <w:t xml:space="preserve"> </w:t>
      </w:r>
      <w:r>
        <w:t xml:space="preserve">(Unity)</w:t>
      </w:r>
    </w:p>
    <w:p>
      <w:pPr>
        <w:pStyle w:val="FirstParagraph"/>
      </w:pPr>
      <w:r>
        <w:t xml:space="preserve">This document establishes the concrete deployment model, component boundaries, lifecycle ownership, embedded module responsibilities, host application integration points, IPC topology, threading boundaries, and architecture invariants used by all subsequent volumes.</w:t>
      </w:r>
    </w:p>
    <w:p>
      <w:pPr>
        <w:pStyle w:val="BodyText"/>
      </w:pPr>
      <w:r>
        <w:t xml:space="preserve">This volume is written for software engineers and system architects. It is not a product brief.</w:t>
      </w:r>
    </w:p>
    <w:p>
      <w:pPr>
        <w:pStyle w:val="BodyText"/>
      </w:pPr>
      <w:r>
        <w:t xml:space="preserve">There is</w:t>
      </w:r>
      <w:r>
        <w:t xml:space="preserve"> </w:t>
      </w:r>
      <w:r>
        <w:rPr>
          <w:b/>
          <w:bCs/>
        </w:rPr>
        <w:t xml:space="preserve">no standalone arbitration client</w:t>
      </w:r>
      <w:r>
        <w:t xml:space="preserve">,</w:t>
      </w:r>
      <w:r>
        <w:t xml:space="preserve"> </w:t>
      </w:r>
      <w:r>
        <w:rPr>
          <w:b/>
          <w:bCs/>
        </w:rPr>
        <w:t xml:space="preserve">no third application</w:t>
      </w:r>
      <w:r>
        <w:t xml:space="preserve">, and</w:t>
      </w:r>
      <w:r>
        <w:t xml:space="preserve"> </w:t>
      </w:r>
      <w:r>
        <w:rPr>
          <w:b/>
          <w:bCs/>
        </w:rPr>
        <w:t xml:space="preserve">no neutral arbitration service</w:t>
      </w:r>
      <w:r>
        <w:t xml:space="preserve"> </w:t>
      </w:r>
      <w:r>
        <w:t xml:space="preserve">in this deployment model.</w:t>
      </w:r>
    </w:p>
    <w:p>
      <w:pPr>
        <w:pStyle w:val="BodyText"/>
      </w:pPr>
      <w:r>
        <w:t xml:space="preserve">Instead, each host application embeds its own internal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, and the two embedded modules coordinate directly through secure IPC.</w:t>
      </w:r>
    </w:p>
    <w:p>
      <w:pPr>
        <w:pStyle w:val="BodyText"/>
      </w:pPr>
      <w:r>
        <w:t xml:space="preserve">The embedded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sole authoritative control plane</w:t>
      </w:r>
      <w:r>
        <w:t xml:space="preserve"> </w:t>
      </w:r>
      <w:r>
        <w:t xml:space="preserve">for governed refresh, stage, and render ownership decisions within each host application.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deployment-topology"/>
    <w:p>
      <w:pPr>
        <w:pStyle w:val="Heading1"/>
      </w:pPr>
      <w:r>
        <w:t xml:space="preserve">2. Deployment Topology</w:t>
      </w:r>
    </w:p>
    <w:bookmarkStart w:id="23" w:name="host-applications"/>
    <w:p>
      <w:pPr>
        <w:pStyle w:val="Heading2"/>
      </w:pPr>
      <w:r>
        <w:t xml:space="preserve">2.1 Host Applications</w:t>
      </w:r>
    </w:p>
    <w:p>
      <w:pPr>
        <w:pStyle w:val="FirstParagraph"/>
      </w:pPr>
      <w:r>
        <w:t xml:space="preserve">The system consists of exactly two participating host applications: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MetroPlay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MetroZone</w:t>
      </w:r>
    </w:p>
    <w:p>
      <w:pPr>
        <w:pStyle w:val="FirstParagraph"/>
      </w:pPr>
      <w:r>
        <w:t xml:space="preserve">Each application contains its own application logic, rendering logic, content preparation logic, analytics plumbing, and an embedded arbitration subsystem.</w:t>
      </w:r>
    </w:p>
    <w:bookmarkEnd w:id="23"/>
    <w:bookmarkStart w:id="24" w:name="embedded-arbitrationmodule"/>
    <w:p>
      <w:pPr>
        <w:pStyle w:val="Heading2"/>
      </w:pPr>
      <w:r>
        <w:t xml:space="preserve">2.2 Embedded ArbitrationModule</w:t>
      </w:r>
    </w:p>
    <w:p>
      <w:pPr>
        <w:pStyle w:val="FirstParagraph"/>
      </w:pPr>
      <w:r>
        <w:t xml:space="preserve">Each host application MUST embed an internal subsystem named:</w:t>
      </w:r>
    </w:p>
    <w:p>
      <w:pPr>
        <w:pStyle w:val="SourceCode"/>
      </w:pPr>
      <w:r>
        <w:rPr>
          <w:rStyle w:val="VerbatimChar"/>
        </w:rPr>
        <w:t xml:space="preserve">ArbitrationModule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 </w:t>
      </w:r>
      <w:r>
        <w:t xml:space="preserve">is implemented</w:t>
      </w:r>
      <w:r>
        <w:t xml:space="preserve"> </w:t>
      </w:r>
      <w:r>
        <w:rPr>
          <w:b/>
          <w:bCs/>
        </w:rPr>
        <w:t xml:space="preserve">inside the host application process</w:t>
      </w:r>
      <w:r>
        <w:t xml:space="preserve">.</w:t>
      </w:r>
    </w:p>
    <w:p>
      <w:pPr>
        <w:pStyle w:val="BodyText"/>
      </w:pPr>
      <w:r>
        <w:t xml:space="preserve">It is not:</w:t>
      </w:r>
    </w:p>
    <w:p>
      <w:pPr>
        <w:pStyle w:val="Compact"/>
        <w:numPr>
          <w:ilvl w:val="0"/>
          <w:numId w:val="1003"/>
        </w:numPr>
      </w:pPr>
      <w:r>
        <w:t xml:space="preserve">a separate APK</w:t>
      </w:r>
    </w:p>
    <w:p>
      <w:pPr>
        <w:pStyle w:val="Compact"/>
        <w:numPr>
          <w:ilvl w:val="0"/>
          <w:numId w:val="1003"/>
        </w:numPr>
      </w:pPr>
      <w:r>
        <w:t xml:space="preserve">a background daemon</w:t>
      </w:r>
    </w:p>
    <w:p>
      <w:pPr>
        <w:pStyle w:val="Compact"/>
        <w:numPr>
          <w:ilvl w:val="0"/>
          <w:numId w:val="1003"/>
        </w:numPr>
      </w:pPr>
      <w:r>
        <w:t xml:space="preserve">an independently deployed client</w:t>
      </w:r>
    </w:p>
    <w:p>
      <w:pPr>
        <w:pStyle w:val="Compact"/>
        <w:numPr>
          <w:ilvl w:val="0"/>
          <w:numId w:val="1003"/>
        </w:numPr>
      </w:pPr>
      <w:r>
        <w:t xml:space="preserve">a third-party coordination process</w:t>
      </w:r>
    </w:p>
    <w:bookmarkEnd w:id="24"/>
    <w:bookmarkStart w:id="25" w:name="topology-diagram"/>
    <w:p>
      <w:pPr>
        <w:pStyle w:val="Heading2"/>
      </w:pPr>
      <w:r>
        <w:t xml:space="preserve">2.3 Topology Diagram</w:t>
      </w:r>
    </w:p>
    <w:p>
      <w:pPr>
        <w:pStyle w:val="SourceCode"/>
      </w:pPr>
      <w:r>
        <w:rPr>
          <w:rStyle w:val="VerbatimChar"/>
        </w:rPr>
        <w:t xml:space="preserve">Android OS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|-- Screen Off / Lock / Unlock Lifecycle Events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+-------------------+                       +-------------------+</w:t>
      </w:r>
      <w:r>
        <w:br/>
      </w:r>
      <w:r>
        <w:rPr>
          <w:rStyle w:val="VerbatimChar"/>
        </w:rPr>
        <w:t xml:space="preserve">| MetroPlay         |                       | MetroZone         |</w:t>
      </w:r>
      <w:r>
        <w:br/>
      </w:r>
      <w:r>
        <w:rPr>
          <w:rStyle w:val="VerbatimChar"/>
        </w:rPr>
        <w:t xml:space="preserve">| (Sliide Host App) |                       | (Unity Host App)  |</w:t>
      </w:r>
      <w:r>
        <w:br/>
      </w:r>
      <w:r>
        <w:rPr>
          <w:rStyle w:val="VerbatimChar"/>
        </w:rPr>
        <w:t xml:space="preserve">|                   |                       |                   |</w:t>
      </w:r>
      <w:r>
        <w:br/>
      </w:r>
      <w:r>
        <w:rPr>
          <w:rStyle w:val="VerbatimChar"/>
        </w:rPr>
        <w:t xml:space="preserve">|  ArbitrationModule|&lt;---- Secure IPC ----&gt;| ArbitrationModule |</w:t>
      </w:r>
      <w:r>
        <w:br/>
      </w:r>
      <w:r>
        <w:rPr>
          <w:rStyle w:val="VerbatimChar"/>
        </w:rPr>
        <w:t xml:space="preserve">|                   |                       |                   |</w:t>
      </w:r>
      <w:r>
        <w:br/>
      </w:r>
      <w:r>
        <w:rPr>
          <w:rStyle w:val="VerbatimChar"/>
        </w:rPr>
        <w:t xml:space="preserve">|  Render / Content |                       | Render / Content  |</w:t>
      </w:r>
      <w:r>
        <w:br/>
      </w:r>
      <w:r>
        <w:rPr>
          <w:rStyle w:val="VerbatimChar"/>
        </w:rPr>
        <w:t xml:space="preserve">|  Pipeline         |                       | Pipeline          |</w:t>
      </w:r>
      <w:r>
        <w:br/>
      </w:r>
      <w:r>
        <w:rPr>
          <w:rStyle w:val="VerbatimChar"/>
        </w:rPr>
        <w:t xml:space="preserve">+-------------------+                       +-------------------+</w:t>
      </w:r>
    </w:p>
    <w:bookmarkEnd w:id="25"/>
    <w:bookmarkStart w:id="26" w:name="topology-rule"/>
    <w:p>
      <w:pPr>
        <w:pStyle w:val="Heading2"/>
      </w:pPr>
      <w:r>
        <w:t xml:space="preserve">2.4 Topology Rule</w:t>
      </w:r>
    </w:p>
    <w:p>
      <w:pPr>
        <w:pStyle w:val="FirstParagraph"/>
      </w:pPr>
      <w:r>
        <w:t xml:space="preserve">All arbitration behavior MUST be explained by this topology. Any design that assumes a third coordinator, external client, or hidden control process is non-compliant.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architectural-goals"/>
    <w:p>
      <w:pPr>
        <w:pStyle w:val="Heading1"/>
      </w:pPr>
      <w:r>
        <w:t xml:space="preserve">3. Architectural Goals</w:t>
      </w:r>
    </w:p>
    <w:p>
      <w:pPr>
        <w:pStyle w:val="FirstParagraph"/>
      </w:pPr>
      <w:r>
        <w:t xml:space="preserve">The architecture MUST achieve the following:</w:t>
      </w:r>
    </w:p>
    <w:bookmarkStart w:id="28" w:name="cooperative-preparation"/>
    <w:p>
      <w:pPr>
        <w:pStyle w:val="Heading2"/>
      </w:pPr>
      <w:r>
        <w:t xml:space="preserve">3.1 Cooperative Preparation</w:t>
      </w:r>
    </w:p>
    <w:p>
      <w:pPr>
        <w:pStyle w:val="FirstParagraph"/>
      </w:pPr>
      <w:r>
        <w:t xml:space="preserve">MetroPlay and MetroZone must be able to prepare content while the screen is off without entering uncontrolled competition for CPU, memory, and process priority.</w:t>
      </w:r>
    </w:p>
    <w:bookmarkEnd w:id="28"/>
    <w:bookmarkStart w:id="29" w:name="deterministic-ownership"/>
    <w:p>
      <w:pPr>
        <w:pStyle w:val="Heading2"/>
      </w:pPr>
      <w:r>
        <w:t xml:space="preserve">3.2 Deterministic Ownership</w:t>
      </w:r>
    </w:p>
    <w:p>
      <w:pPr>
        <w:pStyle w:val="FirstParagraph"/>
      </w:pPr>
      <w:r>
        <w:t xml:space="preserve">At any time, ownership of refresh, stage, and render rights must be explicit, bounded, and auditable.</w:t>
      </w:r>
    </w:p>
    <w:bookmarkEnd w:id="29"/>
    <w:bookmarkStart w:id="30" w:name="embedded-integration"/>
    <w:p>
      <w:pPr>
        <w:pStyle w:val="Heading2"/>
      </w:pPr>
      <w:r>
        <w:t xml:space="preserve">3.3 Embedded Integration</w:t>
      </w:r>
    </w:p>
    <w:p>
      <w:pPr>
        <w:pStyle w:val="FirstParagraph"/>
      </w:pPr>
      <w:r>
        <w:t xml:space="preserve">Arbitration must integrate directly with existing host application logic rather than operating as a detached client.</w:t>
      </w:r>
    </w:p>
    <w:bookmarkEnd w:id="30"/>
    <w:bookmarkStart w:id="31" w:name="failure-containment"/>
    <w:p>
      <w:pPr>
        <w:pStyle w:val="Heading2"/>
      </w:pPr>
      <w:r>
        <w:t xml:space="preserve">3.4 Failure Containment</w:t>
      </w:r>
    </w:p>
    <w:p>
      <w:pPr>
        <w:pStyle w:val="FirstParagraph"/>
      </w:pPr>
      <w:r>
        <w:t xml:space="preserve">A fault in one host app or embedded module must not produce ambiguous render ownership or uncontrolled repeated work.</w:t>
      </w:r>
    </w:p>
    <w:bookmarkEnd w:id="31"/>
    <w:bookmarkStart w:id="32" w:name="android-compatibility"/>
    <w:p>
      <w:pPr>
        <w:pStyle w:val="Heading2"/>
      </w:pPr>
      <w:r>
        <w:t xml:space="preserve">3.5 Android Compatibility</w:t>
      </w:r>
    </w:p>
    <w:p>
      <w:pPr>
        <w:pStyle w:val="FirstParagraph"/>
      </w:pPr>
      <w:r>
        <w:t xml:space="preserve">The architecture must operate fully within Android process, Binder, and lifecycle rules.</w:t>
      </w:r>
    </w:p>
    <w:bookmarkEnd w:id="32"/>
    <w:bookmarkStart w:id="33" w:name="fairness-definition"/>
    <w:p>
      <w:pPr>
        <w:pStyle w:val="Heading2"/>
      </w:pPr>
      <w:r>
        <w:t xml:space="preserve">3.6 Fairness Definition</w:t>
      </w:r>
    </w:p>
    <w:p>
      <w:pPr>
        <w:pStyle w:val="FirstParagraph"/>
      </w:pPr>
      <w:r>
        <w:t xml:space="preserve">Within this architecture,</w:t>
      </w:r>
      <w:r>
        <w:t xml:space="preserve"> </w:t>
      </w:r>
      <w:r>
        <w:rPr>
          <w:b/>
          <w:bCs/>
        </w:rPr>
        <w:t xml:space="preserve">fairness means bounded and deterministic access to preparation and render opportunity under policy constraints.</w:t>
      </w:r>
    </w:p>
    <w:p>
      <w:pPr>
        <w:pStyle w:val="BodyText"/>
      </w:pPr>
      <w:r>
        <w:t xml:space="preserve">Fairness does not imply strict equal share at all times.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roblem-boundary"/>
    <w:p>
      <w:pPr>
        <w:pStyle w:val="Heading1"/>
      </w:pPr>
      <w:r>
        <w:t xml:space="preserve">4. Problem Boundary</w:t>
      </w:r>
    </w:p>
    <w:bookmarkStart w:id="35" w:name="actual-problem-being-solved"/>
    <w:p>
      <w:pPr>
        <w:pStyle w:val="Heading2"/>
      </w:pPr>
      <w:r>
        <w:t xml:space="preserve">4.1 Actual Problem Being Solved</w:t>
      </w:r>
    </w:p>
    <w:p>
      <w:pPr>
        <w:pStyle w:val="FirstParagraph"/>
      </w:pPr>
      <w:r>
        <w:t xml:space="preserve">MetroPlay and MetroZone are not primarily competing for the exact same visible event. Instead:</w:t>
      </w:r>
    </w:p>
    <w:p>
      <w:pPr>
        <w:pStyle w:val="Compact"/>
        <w:numPr>
          <w:ilvl w:val="0"/>
          <w:numId w:val="1004"/>
        </w:numPr>
      </w:pPr>
      <w:r>
        <w:t xml:space="preserve">MetroPlay is primarily aligned to lock-screen presentation opportunities</w:t>
      </w:r>
    </w:p>
    <w:p>
      <w:pPr>
        <w:pStyle w:val="Compact"/>
        <w:numPr>
          <w:ilvl w:val="0"/>
          <w:numId w:val="1004"/>
        </w:numPr>
      </w:pPr>
      <w:r>
        <w:t xml:space="preserve">MetroZone is primarily aligned to unlock-screen presentation opportunities</w:t>
      </w:r>
    </w:p>
    <w:p>
      <w:pPr>
        <w:pStyle w:val="FirstParagraph"/>
      </w:pPr>
      <w:r>
        <w:t xml:space="preserve">The core conflict occurs during the</w:t>
      </w:r>
      <w:r>
        <w:t xml:space="preserve"> </w:t>
      </w:r>
      <w:r>
        <w:rPr>
          <w:b/>
          <w:bCs/>
        </w:rPr>
        <w:t xml:space="preserve">screen-off preparation window</w:t>
      </w:r>
      <w:r>
        <w:t xml:space="preserve">.</w:t>
      </w:r>
    </w:p>
    <w:p>
      <w:pPr>
        <w:pStyle w:val="BodyText"/>
      </w:pPr>
      <w:r>
        <w:t xml:space="preserve">While the screen is off, both host apps may attempt to:</w:t>
      </w:r>
    </w:p>
    <w:p>
      <w:pPr>
        <w:pStyle w:val="Compact"/>
        <w:numPr>
          <w:ilvl w:val="0"/>
          <w:numId w:val="1005"/>
        </w:numPr>
      </w:pPr>
      <w:r>
        <w:t xml:space="preserve">refresh content</w:t>
      </w:r>
    </w:p>
    <w:p>
      <w:pPr>
        <w:pStyle w:val="Compact"/>
        <w:numPr>
          <w:ilvl w:val="0"/>
          <w:numId w:val="1005"/>
        </w:numPr>
      </w:pPr>
      <w:r>
        <w:t xml:space="preserve">validate cache freshness</w:t>
      </w:r>
    </w:p>
    <w:p>
      <w:pPr>
        <w:pStyle w:val="Compact"/>
        <w:numPr>
          <w:ilvl w:val="0"/>
          <w:numId w:val="1005"/>
        </w:numPr>
      </w:pPr>
      <w:r>
        <w:t xml:space="preserve">stage assets</w:t>
      </w:r>
    </w:p>
    <w:p>
      <w:pPr>
        <w:pStyle w:val="Compact"/>
        <w:numPr>
          <w:ilvl w:val="0"/>
          <w:numId w:val="1005"/>
        </w:numPr>
      </w:pPr>
      <w:r>
        <w:t xml:space="preserve">assert readiness</w:t>
      </w:r>
    </w:p>
    <w:p>
      <w:pPr>
        <w:pStyle w:val="Compact"/>
        <w:numPr>
          <w:ilvl w:val="0"/>
          <w:numId w:val="1005"/>
        </w:numPr>
      </w:pPr>
      <w:r>
        <w:t xml:space="preserve">maintain favorable runtime priority</w:t>
      </w:r>
    </w:p>
    <w:p>
      <w:pPr>
        <w:pStyle w:val="FirstParagraph"/>
      </w:pPr>
      <w:r>
        <w:t xml:space="preserve">Without coordination, this creates:</w:t>
      </w:r>
    </w:p>
    <w:p>
      <w:pPr>
        <w:pStyle w:val="Compact"/>
        <w:numPr>
          <w:ilvl w:val="0"/>
          <w:numId w:val="1006"/>
        </w:numPr>
      </w:pPr>
      <w:r>
        <w:t xml:space="preserve">refresh races</w:t>
      </w:r>
    </w:p>
    <w:p>
      <w:pPr>
        <w:pStyle w:val="Compact"/>
        <w:numPr>
          <w:ilvl w:val="0"/>
          <w:numId w:val="1006"/>
        </w:numPr>
      </w:pPr>
      <w:r>
        <w:t xml:space="preserve">stage races</w:t>
      </w:r>
    </w:p>
    <w:p>
      <w:pPr>
        <w:pStyle w:val="Compact"/>
        <w:numPr>
          <w:ilvl w:val="0"/>
          <w:numId w:val="1006"/>
        </w:numPr>
      </w:pPr>
      <w:r>
        <w:t xml:space="preserve">duplicated background work</w:t>
      </w:r>
    </w:p>
    <w:p>
      <w:pPr>
        <w:pStyle w:val="Compact"/>
        <w:numPr>
          <w:ilvl w:val="0"/>
          <w:numId w:val="1006"/>
        </w:numPr>
      </w:pPr>
      <w:r>
        <w:t xml:space="preserve">priority escalation behavior</w:t>
      </w:r>
    </w:p>
    <w:p>
      <w:pPr>
        <w:pStyle w:val="Compact"/>
        <w:numPr>
          <w:ilvl w:val="0"/>
          <w:numId w:val="1006"/>
        </w:numPr>
      </w:pPr>
      <w:r>
        <w:t xml:space="preserve">unstable device resource usage</w:t>
      </w:r>
    </w:p>
    <w:bookmarkEnd w:id="35"/>
    <w:bookmarkStart w:id="36" w:name="architecture-scope"/>
    <w:p>
      <w:pPr>
        <w:pStyle w:val="Heading2"/>
      </w:pPr>
      <w:r>
        <w:t xml:space="preserve">4.2 Architecture Scope</w:t>
      </w:r>
    </w:p>
    <w:p>
      <w:pPr>
        <w:pStyle w:val="FirstParagraph"/>
      </w:pPr>
      <w:r>
        <w:t xml:space="preserve">This architecture governs:</w:t>
      </w:r>
    </w:p>
    <w:p>
      <w:pPr>
        <w:pStyle w:val="Compact"/>
        <w:numPr>
          <w:ilvl w:val="0"/>
          <w:numId w:val="1007"/>
        </w:numPr>
      </w:pPr>
      <w:r>
        <w:t xml:space="preserve">preparation coordination while screen is off</w:t>
      </w:r>
    </w:p>
    <w:p>
      <w:pPr>
        <w:pStyle w:val="Compact"/>
        <w:numPr>
          <w:ilvl w:val="0"/>
          <w:numId w:val="1007"/>
        </w:numPr>
      </w:pPr>
      <w:r>
        <w:t xml:space="preserve">lock-trigger readiness</w:t>
      </w:r>
    </w:p>
    <w:p>
      <w:pPr>
        <w:pStyle w:val="Compact"/>
        <w:numPr>
          <w:ilvl w:val="0"/>
          <w:numId w:val="1007"/>
        </w:numPr>
      </w:pPr>
      <w:r>
        <w:t xml:space="preserve">unlock-trigger readiness</w:t>
      </w:r>
    </w:p>
    <w:p>
      <w:pPr>
        <w:pStyle w:val="Compact"/>
        <w:numPr>
          <w:ilvl w:val="0"/>
          <w:numId w:val="1007"/>
        </w:numPr>
      </w:pPr>
      <w:r>
        <w:t xml:space="preserve">render ownership</w:t>
      </w:r>
    </w:p>
    <w:p>
      <w:pPr>
        <w:pStyle w:val="Compact"/>
        <w:numPr>
          <w:ilvl w:val="0"/>
          <w:numId w:val="1007"/>
        </w:numPr>
      </w:pPr>
      <w:r>
        <w:t xml:space="preserve">fairness and stability between MetroPlay and MetroZone</w:t>
      </w:r>
    </w:p>
    <w:p>
      <w:pPr>
        <w:pStyle w:val="FirstParagraph"/>
      </w:pPr>
      <w:r>
        <w:t xml:space="preserve">This architecture does not govern:</w:t>
      </w:r>
    </w:p>
    <w:p>
      <w:pPr>
        <w:pStyle w:val="Compact"/>
        <w:numPr>
          <w:ilvl w:val="0"/>
          <w:numId w:val="1008"/>
        </w:numPr>
      </w:pPr>
      <w:r>
        <w:t xml:space="preserve">ad targeting logic</w:t>
      </w:r>
    </w:p>
    <w:p>
      <w:pPr>
        <w:pStyle w:val="Compact"/>
        <w:numPr>
          <w:ilvl w:val="0"/>
          <w:numId w:val="1008"/>
        </w:numPr>
      </w:pPr>
      <w:r>
        <w:t xml:space="preserve">content moderation</w:t>
      </w:r>
    </w:p>
    <w:p>
      <w:pPr>
        <w:pStyle w:val="Compact"/>
        <w:numPr>
          <w:ilvl w:val="0"/>
          <w:numId w:val="1008"/>
        </w:numPr>
      </w:pPr>
      <w:r>
        <w:t xml:space="preserve">generic Android scheduling outside app-owned behavior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embedded-module-decomposition"/>
    <w:p>
      <w:pPr>
        <w:pStyle w:val="Heading1"/>
      </w:pPr>
      <w:r>
        <w:t xml:space="preserve">5. Embedded Module Decomposition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 </w:t>
      </w:r>
      <w:r>
        <w:t xml:space="preserve">SHOULD be implemented using the following logical subcomponents.</w:t>
      </w:r>
    </w:p>
    <w:bookmarkStart w:id="38" w:name="protocolengine"/>
    <w:p>
      <w:pPr>
        <w:pStyle w:val="Heading2"/>
      </w:pPr>
      <w:r>
        <w:t xml:space="preserve">5.1 ProtocolEngine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9"/>
        </w:numPr>
      </w:pPr>
      <w:r>
        <w:t xml:space="preserve">encode/decode arbitration protocol messages</w:t>
      </w:r>
    </w:p>
    <w:p>
      <w:pPr>
        <w:pStyle w:val="Compact"/>
        <w:numPr>
          <w:ilvl w:val="0"/>
          <w:numId w:val="1009"/>
        </w:numPr>
      </w:pPr>
      <w:r>
        <w:t xml:space="preserve">drive protocol state transitions</w:t>
      </w:r>
    </w:p>
    <w:p>
      <w:pPr>
        <w:pStyle w:val="Compact"/>
        <w:numPr>
          <w:ilvl w:val="0"/>
          <w:numId w:val="1009"/>
        </w:numPr>
      </w:pPr>
      <w:r>
        <w:t xml:space="preserve">enforce message sequencing rules</w:t>
      </w:r>
    </w:p>
    <w:p>
      <w:pPr>
        <w:pStyle w:val="Compact"/>
        <w:numPr>
          <w:ilvl w:val="0"/>
          <w:numId w:val="1009"/>
        </w:numPr>
      </w:pPr>
      <w:r>
        <w:t xml:space="preserve">coordinate request/response flows</w:t>
      </w:r>
    </w:p>
    <w:bookmarkEnd w:id="38"/>
    <w:bookmarkStart w:id="39" w:name="runtimeengine"/>
    <w:p>
      <w:pPr>
        <w:pStyle w:val="Heading2"/>
      </w:pPr>
      <w:r>
        <w:t xml:space="preserve">5.2 RuntimeEngine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0"/>
        </w:numPr>
      </w:pPr>
      <w:r>
        <w:t xml:space="preserve">maintain runtime state machine</w:t>
      </w:r>
    </w:p>
    <w:p>
      <w:pPr>
        <w:pStyle w:val="Compact"/>
        <w:numPr>
          <w:ilvl w:val="0"/>
          <w:numId w:val="1010"/>
        </w:numPr>
      </w:pPr>
      <w:r>
        <w:t xml:space="preserve">evaluate refresh eligibility</w:t>
      </w:r>
    </w:p>
    <w:p>
      <w:pPr>
        <w:pStyle w:val="Compact"/>
        <w:numPr>
          <w:ilvl w:val="0"/>
          <w:numId w:val="1010"/>
        </w:numPr>
      </w:pPr>
      <w:r>
        <w:t xml:space="preserve">evaluate stage eligibility</w:t>
      </w:r>
    </w:p>
    <w:p>
      <w:pPr>
        <w:pStyle w:val="Compact"/>
        <w:numPr>
          <w:ilvl w:val="0"/>
          <w:numId w:val="1010"/>
        </w:numPr>
      </w:pPr>
      <w:r>
        <w:t xml:space="preserve">evaluate render eligibility</w:t>
      </w:r>
    </w:p>
    <w:p>
      <w:pPr>
        <w:pStyle w:val="Compact"/>
        <w:numPr>
          <w:ilvl w:val="0"/>
          <w:numId w:val="1010"/>
        </w:numPr>
      </w:pPr>
      <w:r>
        <w:t xml:space="preserve">enforce lease ownership rules</w:t>
      </w:r>
    </w:p>
    <w:p>
      <w:pPr>
        <w:pStyle w:val="Compact"/>
        <w:numPr>
          <w:ilvl w:val="0"/>
          <w:numId w:val="1010"/>
        </w:numPr>
      </w:pPr>
      <w:r>
        <w:t xml:space="preserve">apply guardrails and recovery controls</w:t>
      </w:r>
    </w:p>
    <w:bookmarkEnd w:id="39"/>
    <w:bookmarkStart w:id="40" w:name="leasemanager"/>
    <w:p>
      <w:pPr>
        <w:pStyle w:val="Heading2"/>
      </w:pPr>
      <w:r>
        <w:t xml:space="preserve">5.3 LeaseManager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1"/>
        </w:numPr>
      </w:pPr>
      <w:r>
        <w:t xml:space="preserve">track active refresh/stage/render leases</w:t>
      </w:r>
    </w:p>
    <w:p>
      <w:pPr>
        <w:pStyle w:val="Compact"/>
        <w:numPr>
          <w:ilvl w:val="0"/>
          <w:numId w:val="1011"/>
        </w:numPr>
      </w:pPr>
      <w:r>
        <w:t xml:space="preserve">enforce lease timeouts</w:t>
      </w:r>
    </w:p>
    <w:p>
      <w:pPr>
        <w:pStyle w:val="Compact"/>
        <w:numPr>
          <w:ilvl w:val="0"/>
          <w:numId w:val="1011"/>
        </w:numPr>
      </w:pPr>
      <w:r>
        <w:t xml:space="preserve">reconcile lease release and forced expiry</w:t>
      </w:r>
    </w:p>
    <w:p>
      <w:pPr>
        <w:pStyle w:val="Compact"/>
        <w:numPr>
          <w:ilvl w:val="0"/>
          <w:numId w:val="1011"/>
        </w:numPr>
      </w:pPr>
      <w:r>
        <w:t xml:space="preserve">expose lease table for diagnostics</w:t>
      </w:r>
    </w:p>
    <w:bookmarkEnd w:id="40"/>
    <w:bookmarkStart w:id="41" w:name="securityvalidator"/>
    <w:p>
      <w:pPr>
        <w:pStyle w:val="Heading2"/>
      </w:pPr>
      <w:r>
        <w:t xml:space="preserve">5.4 SecurityValidator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2"/>
        </w:numPr>
      </w:pPr>
      <w:r>
        <w:t xml:space="preserve">validate peer identity</w:t>
      </w:r>
    </w:p>
    <w:p>
      <w:pPr>
        <w:pStyle w:val="Compact"/>
        <w:numPr>
          <w:ilvl w:val="0"/>
          <w:numId w:val="1012"/>
        </w:numPr>
      </w:pPr>
      <w:r>
        <w:t xml:space="preserve">validate message integrity and freshness</w:t>
      </w:r>
    </w:p>
    <w:p>
      <w:pPr>
        <w:pStyle w:val="Compact"/>
        <w:numPr>
          <w:ilvl w:val="0"/>
          <w:numId w:val="1012"/>
        </w:numPr>
      </w:pPr>
      <w:r>
        <w:t xml:space="preserve">detect replay or duplicate conditions</w:t>
      </w:r>
    </w:p>
    <w:p>
      <w:pPr>
        <w:pStyle w:val="Compact"/>
        <w:numPr>
          <w:ilvl w:val="0"/>
          <w:numId w:val="1012"/>
        </w:numPr>
      </w:pPr>
      <w:r>
        <w:t xml:space="preserve">enforce trust boundary rules</w:t>
      </w:r>
    </w:p>
    <w:bookmarkEnd w:id="41"/>
    <w:bookmarkStart w:id="42" w:name="telemetryemitter"/>
    <w:p>
      <w:pPr>
        <w:pStyle w:val="Heading2"/>
      </w:pPr>
      <w:r>
        <w:t xml:space="preserve">5.5 TelemetryEmitter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3"/>
        </w:numPr>
      </w:pPr>
      <w:r>
        <w:t xml:space="preserve">emit runtime, protocol, security, and operational events</w:t>
      </w:r>
    </w:p>
    <w:p>
      <w:pPr>
        <w:pStyle w:val="Compact"/>
        <w:numPr>
          <w:ilvl w:val="0"/>
          <w:numId w:val="1013"/>
        </w:numPr>
      </w:pPr>
      <w:r>
        <w:t xml:space="preserve">attach required correlation identifiers</w:t>
      </w:r>
    </w:p>
    <w:p>
      <w:pPr>
        <w:pStyle w:val="Compact"/>
        <w:numPr>
          <w:ilvl w:val="0"/>
          <w:numId w:val="1013"/>
        </w:numPr>
      </w:pPr>
      <w:r>
        <w:t xml:space="preserve">publish observability data through host app telemetry channel</w:t>
      </w:r>
    </w:p>
    <w:bookmarkEnd w:id="42"/>
    <w:bookmarkStart w:id="43" w:name="lifecycleobserver"/>
    <w:p>
      <w:pPr>
        <w:pStyle w:val="Heading2"/>
      </w:pPr>
      <w:r>
        <w:t xml:space="preserve">5.6 LifecycleObserver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4"/>
        </w:numPr>
      </w:pPr>
      <w:r>
        <w:t xml:space="preserve">observe screen-off / lock / unlock lifecycle events</w:t>
      </w:r>
    </w:p>
    <w:p>
      <w:pPr>
        <w:pStyle w:val="Compact"/>
        <w:numPr>
          <w:ilvl w:val="0"/>
          <w:numId w:val="1014"/>
        </w:numPr>
      </w:pPr>
      <w:r>
        <w:t xml:space="preserve">normalize Android lifecycle signals</w:t>
      </w:r>
    </w:p>
    <w:p>
      <w:pPr>
        <w:pStyle w:val="Compact"/>
        <w:numPr>
          <w:ilvl w:val="0"/>
          <w:numId w:val="1014"/>
        </w:numPr>
      </w:pPr>
      <w:r>
        <w:t xml:space="preserve">provide normalized lifecycle triggers to RuntimeEngine</w:t>
      </w:r>
    </w:p>
    <w:p>
      <w:pPr>
        <w:pStyle w:val="Compact"/>
        <w:numPr>
          <w:ilvl w:val="0"/>
          <w:numId w:val="1014"/>
        </w:numPr>
      </w:pPr>
      <w:r>
        <w:t xml:space="preserve">ensure render assertions align with actual UI lifecycle</w:t>
      </w:r>
    </w:p>
    <w:bookmarkEnd w:id="43"/>
    <w:bookmarkStart w:id="44" w:name="optional-internal-separation-rule"/>
    <w:p>
      <w:pPr>
        <w:pStyle w:val="Heading2"/>
      </w:pPr>
      <w:r>
        <w:t xml:space="preserve">5.7 Optional Internal Separation Rule</w:t>
      </w:r>
    </w:p>
    <w:p>
      <w:pPr>
        <w:pStyle w:val="FirstParagraph"/>
      </w:pPr>
      <w:r>
        <w:t xml:space="preserve">These components may be implemented as separate classes, services, or packages, but from the system architecture perspective they form one embedded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 </w:t>
      </w:r>
      <w:r>
        <w:t xml:space="preserve">inside the host app.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host-application-integration-points"/>
    <w:p>
      <w:pPr>
        <w:pStyle w:val="Heading1"/>
      </w:pPr>
      <w:r>
        <w:t xml:space="preserve">6. Host Application Integration Points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 </w:t>
      </w:r>
      <w:r>
        <w:t xml:space="preserve">MUST integrate with the host application at specific points.</w:t>
      </w:r>
    </w:p>
    <w:bookmarkStart w:id="46" w:name="lifecycle-integration"/>
    <w:p>
      <w:pPr>
        <w:pStyle w:val="Heading2"/>
      </w:pPr>
      <w:r>
        <w:t xml:space="preserve">6.1 Lifecycle Integration</w:t>
      </w:r>
    </w:p>
    <w:p>
      <w:pPr>
        <w:pStyle w:val="FirstParagraph"/>
      </w:pPr>
      <w:r>
        <w:t xml:space="preserve">The host application MUST normalize Android lifecycle signals before delivering them to the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.</w:t>
      </w:r>
    </w:p>
    <w:p>
      <w:pPr>
        <w:pStyle w:val="BodyText"/>
      </w:pPr>
      <w:r>
        <w:t xml:space="preserve">Canonical triggers delivered to the module include: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SCREEN_OFF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LOCK_TRIGGER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UNLOCK_TRIGGER</w:t>
      </w:r>
    </w:p>
    <w:p>
      <w:pPr>
        <w:pStyle w:val="Compact"/>
        <w:numPr>
          <w:ilvl w:val="0"/>
          <w:numId w:val="1015"/>
        </w:numPr>
      </w:pPr>
      <w:r>
        <w:t xml:space="preserve">app process start</w:t>
      </w:r>
    </w:p>
    <w:p>
      <w:pPr>
        <w:pStyle w:val="Compact"/>
        <w:numPr>
          <w:ilvl w:val="0"/>
          <w:numId w:val="1015"/>
        </w:numPr>
      </w:pPr>
      <w:r>
        <w:t xml:space="preserve">app process restart</w:t>
      </w:r>
    </w:p>
    <w:p>
      <w:pPr>
        <w:pStyle w:val="Compact"/>
        <w:numPr>
          <w:ilvl w:val="0"/>
          <w:numId w:val="1015"/>
        </w:numPr>
      </w:pPr>
      <w:r>
        <w:t xml:space="preserve">host render complete / abort signals</w:t>
      </w:r>
    </w:p>
    <w:p>
      <w:pPr>
        <w:pStyle w:val="FirstParagraph"/>
      </w:pPr>
      <w:r>
        <w:t xml:space="preserve">Typical Android signal mappings may include:</w:t>
      </w:r>
    </w:p>
    <w:p>
      <w:pPr>
        <w:pStyle w:val="SourceCode"/>
      </w:pPr>
      <w:r>
        <w:rPr>
          <w:rStyle w:val="VerbatimChar"/>
        </w:rPr>
        <w:t xml:space="preserve">ACTION_SCREEN_OFF  -&gt; SCREEN_OFF</w:t>
      </w:r>
      <w:r>
        <w:br/>
      </w:r>
      <w:r>
        <w:rPr>
          <w:rStyle w:val="VerbatimChar"/>
        </w:rPr>
        <w:t xml:space="preserve">Keyguard lock      -&gt; LOCK_TRIGGER</w:t>
      </w:r>
      <w:r>
        <w:br/>
      </w:r>
      <w:r>
        <w:rPr>
          <w:rStyle w:val="VerbatimChar"/>
        </w:rPr>
        <w:t xml:space="preserve">ACTION_USER_PRESENT -&gt; UNLOCK_TRIGGER</w:t>
      </w:r>
    </w:p>
    <w:p>
      <w:pPr>
        <w:pStyle w:val="FirstParagraph"/>
      </w:pPr>
      <w:r>
        <w:t xml:space="preserve">Both MetroPlay and MetroZone MUST normalize lifecycle signals consistently so that wake-cycle interpretation remains deterministic across both applications.</w:t>
      </w:r>
    </w:p>
    <w:bookmarkEnd w:id="46"/>
    <w:bookmarkStart w:id="47" w:name="content-pipeline-integration"/>
    <w:p>
      <w:pPr>
        <w:pStyle w:val="Heading2"/>
      </w:pPr>
      <w:r>
        <w:t xml:space="preserve">6.2 Content Pipeline Integration</w:t>
      </w:r>
    </w:p>
    <w:p>
      <w:pPr>
        <w:pStyle w:val="FirstParagraph"/>
      </w:pPr>
      <w:r>
        <w:t xml:space="preserve">The host application MUST allow the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 </w:t>
      </w:r>
      <w:r>
        <w:t xml:space="preserve">to:</w:t>
      </w:r>
    </w:p>
    <w:p>
      <w:pPr>
        <w:pStyle w:val="Compact"/>
        <w:numPr>
          <w:ilvl w:val="0"/>
          <w:numId w:val="1016"/>
        </w:numPr>
      </w:pPr>
      <w:r>
        <w:t xml:space="preserve">request refresh work</w:t>
      </w:r>
    </w:p>
    <w:p>
      <w:pPr>
        <w:pStyle w:val="Compact"/>
        <w:numPr>
          <w:ilvl w:val="0"/>
          <w:numId w:val="1016"/>
        </w:numPr>
      </w:pPr>
      <w:r>
        <w:t xml:space="preserve">request staging work</w:t>
      </w:r>
    </w:p>
    <w:p>
      <w:pPr>
        <w:pStyle w:val="Compact"/>
        <w:numPr>
          <w:ilvl w:val="0"/>
          <w:numId w:val="1016"/>
        </w:numPr>
      </w:pPr>
      <w:r>
        <w:t xml:space="preserve">observe staging completion</w:t>
      </w:r>
    </w:p>
    <w:p>
      <w:pPr>
        <w:pStyle w:val="Compact"/>
        <w:numPr>
          <w:ilvl w:val="0"/>
          <w:numId w:val="1016"/>
        </w:numPr>
      </w:pPr>
      <w:r>
        <w:t xml:space="preserve">observe content invalidation</w:t>
      </w:r>
    </w:p>
    <w:p>
      <w:pPr>
        <w:pStyle w:val="Compact"/>
        <w:numPr>
          <w:ilvl w:val="0"/>
          <w:numId w:val="1016"/>
        </w:numPr>
      </w:pPr>
      <w:r>
        <w:t xml:space="preserve">observe render completion</w:t>
      </w:r>
    </w:p>
    <w:bookmarkEnd w:id="47"/>
    <w:bookmarkStart w:id="48" w:name="telemetry-integration"/>
    <w:p>
      <w:pPr>
        <w:pStyle w:val="Heading2"/>
      </w:pPr>
      <w:r>
        <w:t xml:space="preserve">6.3 Telemetry Integration</w:t>
      </w:r>
    </w:p>
    <w:p>
      <w:pPr>
        <w:pStyle w:val="FirstParagraph"/>
      </w:pPr>
      <w:r>
        <w:t xml:space="preserve">The host application MUST provide a path for the embedded module to publish telemetry through existing analytics infrastructure.</w:t>
      </w:r>
    </w:p>
    <w:bookmarkEnd w:id="48"/>
    <w:bookmarkStart w:id="49" w:name="security-integration"/>
    <w:p>
      <w:pPr>
        <w:pStyle w:val="Heading2"/>
      </w:pPr>
      <w:r>
        <w:t xml:space="preserve">6.4 Security Integration</w:t>
      </w:r>
    </w:p>
    <w:p>
      <w:pPr>
        <w:pStyle w:val="FirstParagraph"/>
      </w:pPr>
      <w:r>
        <w:t xml:space="preserve">The host app MUST expose the required secure IPC endpoint and permission model used by the peer module.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ipc-architecture"/>
    <w:p>
      <w:pPr>
        <w:pStyle w:val="Heading1"/>
      </w:pPr>
      <w:r>
        <w:t xml:space="preserve">7. IPC Architecture</w:t>
      </w:r>
    </w:p>
    <w:bookmarkStart w:id="51" w:name="ipc-ownership-model"/>
    <w:p>
      <w:pPr>
        <w:pStyle w:val="Heading2"/>
      </w:pPr>
      <w:r>
        <w:t xml:space="preserve">7.1 IPC Ownership Model</w:t>
      </w:r>
    </w:p>
    <w:p>
      <w:pPr>
        <w:pStyle w:val="FirstParagraph"/>
      </w:pPr>
      <w:r>
        <w:t xml:space="preserve">Each host application MUST expose one arbitration IPC endpoint owned by its embedded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.</w:t>
      </w:r>
    </w:p>
    <w:p>
      <w:pPr>
        <w:pStyle w:val="BodyText"/>
      </w:pPr>
      <w:r>
        <w:t xml:space="preserve">Example logical ownership:</w:t>
      </w:r>
    </w:p>
    <w:p>
      <w:pPr>
        <w:pStyle w:val="SourceCode"/>
      </w:pPr>
      <w:r>
        <w:rPr>
          <w:rStyle w:val="VerbatimChar"/>
        </w:rPr>
        <w:t xml:space="preserve">MetroPlay.ArbitrationModule -&gt; MetroPlay ArbitrationService endpoint</w:t>
      </w:r>
      <w:r>
        <w:br/>
      </w:r>
      <w:r>
        <w:rPr>
          <w:rStyle w:val="VerbatimChar"/>
        </w:rPr>
        <w:t xml:space="preserve">MetroZone.ArbitrationModule -&gt; MetroZone ArbitrationService endpoint</w:t>
      </w:r>
    </w:p>
    <w:bookmarkEnd w:id="51"/>
    <w:bookmarkStart w:id="52" w:name="ipc-constraint"/>
    <w:p>
      <w:pPr>
        <w:pStyle w:val="Heading2"/>
      </w:pPr>
      <w:r>
        <w:t xml:space="preserve">7.2 IPC Constraint</w:t>
      </w:r>
    </w:p>
    <w:p>
      <w:pPr>
        <w:pStyle w:val="FirstParagraph"/>
      </w:pPr>
      <w:r>
        <w:t xml:space="preserve">The IPC endpoint belongs to the host app deployment unit. It is not a standalone transport process.</w:t>
      </w:r>
    </w:p>
    <w:bookmarkEnd w:id="52"/>
    <w:bookmarkStart w:id="53" w:name="ipc-responsibilities"/>
    <w:p>
      <w:pPr>
        <w:pStyle w:val="Heading2"/>
      </w:pPr>
      <w:r>
        <w:t xml:space="preserve">7.3 IPC Responsibilities</w:t>
      </w:r>
    </w:p>
    <w:p>
      <w:pPr>
        <w:pStyle w:val="FirstParagraph"/>
      </w:pPr>
      <w:r>
        <w:t xml:space="preserve">The IPC layer MUST support:</w:t>
      </w:r>
    </w:p>
    <w:p>
      <w:pPr>
        <w:pStyle w:val="Compact"/>
        <w:numPr>
          <w:ilvl w:val="0"/>
          <w:numId w:val="1017"/>
        </w:numPr>
      </w:pPr>
      <w:r>
        <w:t xml:space="preserve">session establishment</w:t>
      </w:r>
    </w:p>
    <w:p>
      <w:pPr>
        <w:pStyle w:val="Compact"/>
        <w:numPr>
          <w:ilvl w:val="0"/>
          <w:numId w:val="1017"/>
        </w:numPr>
      </w:pPr>
      <w:r>
        <w:t xml:space="preserve">lease request/response</w:t>
      </w:r>
    </w:p>
    <w:p>
      <w:pPr>
        <w:pStyle w:val="Compact"/>
        <w:numPr>
          <w:ilvl w:val="0"/>
          <w:numId w:val="1017"/>
        </w:numPr>
      </w:pPr>
      <w:r>
        <w:t xml:space="preserve">readiness publication</w:t>
      </w:r>
    </w:p>
    <w:p>
      <w:pPr>
        <w:pStyle w:val="Compact"/>
        <w:numPr>
          <w:ilvl w:val="0"/>
          <w:numId w:val="1017"/>
        </w:numPr>
      </w:pPr>
      <w:r>
        <w:t xml:space="preserve">heartbeat exchange</w:t>
      </w:r>
    </w:p>
    <w:p>
      <w:pPr>
        <w:pStyle w:val="Compact"/>
        <w:numPr>
          <w:ilvl w:val="0"/>
          <w:numId w:val="1017"/>
        </w:numPr>
      </w:pPr>
      <w:r>
        <w:t xml:space="preserve">session reset</w:t>
      </w:r>
    </w:p>
    <w:p>
      <w:pPr>
        <w:pStyle w:val="Compact"/>
        <w:numPr>
          <w:ilvl w:val="0"/>
          <w:numId w:val="1017"/>
        </w:numPr>
      </w:pPr>
      <w:r>
        <w:t xml:space="preserve">release and recovery signaling</w:t>
      </w:r>
    </w:p>
    <w:bookmarkEnd w:id="53"/>
    <w:bookmarkStart w:id="54" w:name="ipc-security"/>
    <w:p>
      <w:pPr>
        <w:pStyle w:val="Heading2"/>
      </w:pPr>
      <w:r>
        <w:t xml:space="preserve">7.4 IPC Security</w:t>
      </w:r>
    </w:p>
    <w:p>
      <w:pPr>
        <w:pStyle w:val="FirstParagraph"/>
      </w:pPr>
      <w:r>
        <w:t xml:space="preserve">All authoritative IPC MUST be secured as defined in Volume 5.</w:t>
      </w:r>
    </w:p>
    <w:bookmarkEnd w:id="54"/>
    <w:bookmarkStart w:id="55" w:name="ipc-versioning-rule"/>
    <w:p>
      <w:pPr>
        <w:pStyle w:val="Heading2"/>
      </w:pPr>
      <w:r>
        <w:t xml:space="preserve">7.5 IPC Versioning Rule</w:t>
      </w:r>
    </w:p>
    <w:p>
      <w:pPr>
        <w:pStyle w:val="FirstParagraph"/>
      </w:pPr>
      <w:r>
        <w:t xml:space="preserve">All arbitration protocol messages MUST include a</w:t>
      </w:r>
      <w:r>
        <w:t xml:space="preserve"> </w:t>
      </w:r>
      <w:r>
        <w:rPr>
          <w:b/>
          <w:bCs/>
        </w:rPr>
        <w:t xml:space="preserve">protocol version field</w:t>
      </w:r>
      <w:r>
        <w:t xml:space="preserve">.</w:t>
      </w:r>
    </w:p>
    <w:p>
      <w:pPr>
        <w:pStyle w:val="BodyText"/>
      </w:pPr>
      <w:r>
        <w:t xml:space="preserve">MetroPlay and MetroZone MUST verify protocol compatibility before accepting authoritative commands.</w:t>
      </w:r>
    </w:p>
    <w:p>
      <w:pPr>
        <w:pStyle w:val="BodyText"/>
      </w:pPr>
      <w:r>
        <w:t xml:space="preserve">A reachable IPC endpoint is not sufficient for operational participation unless</w:t>
      </w:r>
      <w:r>
        <w:t xml:space="preserve"> </w:t>
      </w:r>
      <w:r>
        <w:rPr>
          <w:b/>
          <w:bCs/>
        </w:rPr>
        <w:t xml:space="preserve">protocol compatibility and trust validation both succeed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lifecycle-ownership-model"/>
    <w:p>
      <w:pPr>
        <w:pStyle w:val="Heading1"/>
      </w:pPr>
      <w:r>
        <w:t xml:space="preserve">8. Lifecycle Ownership Model</w:t>
      </w:r>
    </w:p>
    <w:bookmarkStart w:id="57" w:name="screen-off-ownership"/>
    <w:p>
      <w:pPr>
        <w:pStyle w:val="Heading2"/>
      </w:pPr>
      <w:r>
        <w:t xml:space="preserve">8.1 Screen-Off Ownership</w:t>
      </w:r>
    </w:p>
    <w:p>
      <w:pPr>
        <w:pStyle w:val="FirstParagraph"/>
      </w:pPr>
      <w:r>
        <w:t xml:space="preserve">During</w:t>
      </w:r>
      <w:r>
        <w:t xml:space="preserve"> </w:t>
      </w:r>
      <w:r>
        <w:rPr>
          <w:rStyle w:val="VerbatimChar"/>
        </w:rPr>
        <w:t xml:space="preserve">SCREEN_OFF</w:t>
      </w:r>
      <w:r>
        <w:t xml:space="preserve">, both MetroPlay and MetroZone may be active in preparation mode, but actual preparation rights are bounded by refresh/stage lease ownership.</w:t>
      </w:r>
    </w:p>
    <w:bookmarkEnd w:id="57"/>
    <w:bookmarkStart w:id="58" w:name="lock-ownership-intent"/>
    <w:p>
      <w:pPr>
        <w:pStyle w:val="Heading2"/>
      </w:pPr>
      <w:r>
        <w:t xml:space="preserve">8.2 Lock Ownership Intent</w:t>
      </w:r>
    </w:p>
    <w:p>
      <w:pPr>
        <w:pStyle w:val="FirstParagraph"/>
      </w:pPr>
      <w:r>
        <w:t xml:space="preserve">MetroPlay is the primary lock-trigger-aligned application.</w:t>
      </w:r>
    </w:p>
    <w:p>
      <w:pPr>
        <w:pStyle w:val="BodyText"/>
      </w:pPr>
      <w:r>
        <w:t xml:space="preserve">MetroZone may still maintain readiness state but does not own the lock render path unless policy explicitly allows it.</w:t>
      </w:r>
    </w:p>
    <w:bookmarkEnd w:id="58"/>
    <w:bookmarkStart w:id="59" w:name="unlock-ownership-intent"/>
    <w:p>
      <w:pPr>
        <w:pStyle w:val="Heading2"/>
      </w:pPr>
      <w:r>
        <w:t xml:space="preserve">8.3 Unlock Ownership Intent</w:t>
      </w:r>
    </w:p>
    <w:p>
      <w:pPr>
        <w:pStyle w:val="FirstParagraph"/>
      </w:pPr>
      <w:r>
        <w:t xml:space="preserve">MetroZone is the primary unlock-trigger-aligned application.</w:t>
      </w:r>
    </w:p>
    <w:p>
      <w:pPr>
        <w:pStyle w:val="BodyText"/>
      </w:pPr>
      <w:r>
        <w:t xml:space="preserve">MetroPlay may still maintain readiness state but does not own the unlock render path unless policy explicitly allows it.</w:t>
      </w:r>
    </w:p>
    <w:bookmarkEnd w:id="59"/>
    <w:bookmarkStart w:id="60" w:name="ownership-principle"/>
    <w:p>
      <w:pPr>
        <w:pStyle w:val="Heading2"/>
      </w:pPr>
      <w:r>
        <w:t xml:space="preserve">8.4 Ownership Principle</w:t>
      </w:r>
    </w:p>
    <w:p>
      <w:pPr>
        <w:pStyle w:val="FirstParagraph"/>
      </w:pPr>
      <w:r>
        <w:t xml:space="preserve">Alignment to a trigger does not itself grant render ownership. Render ownership still requires valid state, lease success, and non-conflicting peer conditions.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rights-separation-model"/>
    <w:p>
      <w:pPr>
        <w:pStyle w:val="Heading1"/>
      </w:pPr>
      <w:r>
        <w:t xml:space="preserve">9. Rights Separation Model</w:t>
      </w:r>
    </w:p>
    <w:p>
      <w:pPr>
        <w:pStyle w:val="FirstParagraph"/>
      </w:pPr>
      <w:r>
        <w:t xml:space="preserve">The architecture separates three operational rights.</w:t>
      </w:r>
    </w:p>
    <w:bookmarkStart w:id="62" w:name="refresh-right"/>
    <w:p>
      <w:pPr>
        <w:pStyle w:val="Heading2"/>
      </w:pPr>
      <w:r>
        <w:t xml:space="preserve">9.1 Refresh Right</w:t>
      </w:r>
    </w:p>
    <w:p>
      <w:pPr>
        <w:pStyle w:val="FirstParagraph"/>
      </w:pPr>
      <w:r>
        <w:t xml:space="preserve">Permission to perform refresh work such as network update or cache refresh.</w:t>
      </w:r>
    </w:p>
    <w:bookmarkEnd w:id="62"/>
    <w:bookmarkStart w:id="63" w:name="stage-right"/>
    <w:p>
      <w:pPr>
        <w:pStyle w:val="Heading2"/>
      </w:pPr>
      <w:r>
        <w:t xml:space="preserve">9.2 Stage Right</w:t>
      </w:r>
    </w:p>
    <w:p>
      <w:pPr>
        <w:pStyle w:val="FirstParagraph"/>
      </w:pPr>
      <w:r>
        <w:t xml:space="preserve">Permission to prepare assets for low-latency rendering.</w:t>
      </w:r>
    </w:p>
    <w:bookmarkEnd w:id="63"/>
    <w:bookmarkStart w:id="64" w:name="render-right"/>
    <w:p>
      <w:pPr>
        <w:pStyle w:val="Heading2"/>
      </w:pPr>
      <w:r>
        <w:t xml:space="preserve">9.3 Render Right</w:t>
      </w:r>
    </w:p>
    <w:p>
      <w:pPr>
        <w:pStyle w:val="FirstParagraph"/>
      </w:pPr>
      <w:r>
        <w:t xml:space="preserve">Permission to become visible for the relevant lock or unlock presentation event.</w:t>
      </w:r>
    </w:p>
    <w:bookmarkEnd w:id="64"/>
    <w:bookmarkStart w:id="65" w:name="architectural-rule"/>
    <w:p>
      <w:pPr>
        <w:pStyle w:val="Heading2"/>
      </w:pPr>
      <w:r>
        <w:t xml:space="preserve">9.4 Architectural Rule</w:t>
      </w:r>
    </w:p>
    <w:p>
      <w:pPr>
        <w:pStyle w:val="FirstParagraph"/>
      </w:pPr>
      <w:r>
        <w:t xml:space="preserve">These rights MUST remain separate in software design. The host application MUST NOT collapse refresh, stage, and render into an uncontrolled single-path workflow.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threading-and-execution-boundaries"/>
    <w:p>
      <w:pPr>
        <w:pStyle w:val="Heading1"/>
      </w:pPr>
      <w:r>
        <w:t xml:space="preserve">10. Threading and Execution Boundaries</w:t>
      </w:r>
    </w:p>
    <w:bookmarkStart w:id="67" w:name="main-thread-rule"/>
    <w:p>
      <w:pPr>
        <w:pStyle w:val="Heading2"/>
      </w:pPr>
      <w:r>
        <w:t xml:space="preserve">10.1 Main Thread Rule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 </w:t>
      </w:r>
      <w:r>
        <w:t xml:space="preserve">MUST NOT perform network refresh, heavy staging, or blocking IPC waits on the UI thread.</w:t>
      </w:r>
    </w:p>
    <w:bookmarkEnd w:id="67"/>
    <w:bookmarkStart w:id="68" w:name="serialized-arbitration-executor"/>
    <w:p>
      <w:pPr>
        <w:pStyle w:val="Heading2"/>
      </w:pPr>
      <w:r>
        <w:t xml:space="preserve">10.2 Serialized Arbitration Executor</w:t>
      </w:r>
    </w:p>
    <w:p>
      <w:pPr>
        <w:pStyle w:val="FirstParagraph"/>
      </w:pPr>
      <w:r>
        <w:t xml:space="preserve">State mutation, lease mutation, and protocol-decision application SHOULD execute on a</w:t>
      </w:r>
      <w:r>
        <w:t xml:space="preserve"> </w:t>
      </w:r>
      <w:r>
        <w:rPr>
          <w:b/>
          <w:bCs/>
        </w:rPr>
        <w:t xml:space="preserve">serialized arbitration executor</w:t>
      </w:r>
      <w:r>
        <w:t xml:space="preserve"> </w:t>
      </w:r>
      <w:r>
        <w:t xml:space="preserve">or equivalent single-writer model.</w:t>
      </w:r>
    </w:p>
    <w:p>
      <w:pPr>
        <w:pStyle w:val="BodyText"/>
      </w:pPr>
      <w:r>
        <w:t xml:space="preserve">Inbound IPC processing, lifecycle triggers, timeout processing, and lease mutation MUST converge through this same serialized execution context before mutating authoritative state.</w:t>
      </w:r>
    </w:p>
    <w:p>
      <w:pPr>
        <w:pStyle w:val="BodyText"/>
      </w:pPr>
      <w:r>
        <w:t xml:space="preserve">This avoids race conditions between:</w:t>
      </w:r>
    </w:p>
    <w:p>
      <w:pPr>
        <w:pStyle w:val="Compact"/>
        <w:numPr>
          <w:ilvl w:val="0"/>
          <w:numId w:val="1018"/>
        </w:numPr>
      </w:pPr>
      <w:r>
        <w:t xml:space="preserve">lifecycle callbacks</w:t>
      </w:r>
    </w:p>
    <w:p>
      <w:pPr>
        <w:pStyle w:val="Compact"/>
        <w:numPr>
          <w:ilvl w:val="0"/>
          <w:numId w:val="1018"/>
        </w:numPr>
      </w:pPr>
      <w:r>
        <w:t xml:space="preserve">incoming peer messages</w:t>
      </w:r>
    </w:p>
    <w:p>
      <w:pPr>
        <w:pStyle w:val="Compact"/>
        <w:numPr>
          <w:ilvl w:val="0"/>
          <w:numId w:val="1018"/>
        </w:numPr>
      </w:pPr>
      <w:r>
        <w:t xml:space="preserve">timeout handling</w:t>
      </w:r>
    </w:p>
    <w:p>
      <w:pPr>
        <w:pStyle w:val="Compact"/>
        <w:numPr>
          <w:ilvl w:val="0"/>
          <w:numId w:val="1018"/>
        </w:numPr>
      </w:pPr>
      <w:r>
        <w:t xml:space="preserve">local scheduler ticks</w:t>
      </w:r>
    </w:p>
    <w:bookmarkEnd w:id="68"/>
    <w:bookmarkStart w:id="69" w:name="ui-visibility-synchronization"/>
    <w:p>
      <w:pPr>
        <w:pStyle w:val="Heading2"/>
      </w:pPr>
      <w:r>
        <w:t xml:space="preserve">10.3 UI Visibility Synchronization</w:t>
      </w:r>
    </w:p>
    <w:p>
      <w:pPr>
        <w:pStyle w:val="FirstParagraph"/>
      </w:pPr>
      <w:r>
        <w:t xml:space="preserve">Render-active state MUST be synchronized with actual host UI visibility events rather than assumed immediately on lease grant.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7" w:name="architecture-invariants"/>
    <w:p>
      <w:pPr>
        <w:pStyle w:val="Heading1"/>
      </w:pPr>
      <w:r>
        <w:t xml:space="preserve">11. Architecture Invariants</w:t>
      </w:r>
    </w:p>
    <w:p>
      <w:pPr>
        <w:pStyle w:val="FirstParagraph"/>
      </w:pPr>
      <w:r>
        <w:t xml:space="preserve">The following invariants MUST hold.</w:t>
      </w:r>
    </w:p>
    <w:bookmarkStart w:id="71" w:name="two-party-invariant"/>
    <w:p>
      <w:pPr>
        <w:pStyle w:val="Heading2"/>
      </w:pPr>
      <w:r>
        <w:t xml:space="preserve">11.1 Two-Party Invariant</w:t>
      </w:r>
    </w:p>
    <w:p>
      <w:pPr>
        <w:pStyle w:val="FirstParagraph"/>
      </w:pPr>
      <w:r>
        <w:t xml:space="preserve">The system consists only of MetroPlay and MetroZone as arbitration peers in this deployment model.</w:t>
      </w:r>
    </w:p>
    <w:bookmarkEnd w:id="71"/>
    <w:bookmarkStart w:id="72" w:name="embedded-invariant"/>
    <w:p>
      <w:pPr>
        <w:pStyle w:val="Heading2"/>
      </w:pPr>
      <w:r>
        <w:t xml:space="preserve">11.2 Embedded Invariant</w:t>
      </w:r>
    </w:p>
    <w:p>
      <w:pPr>
        <w:pStyle w:val="FirstParagraph"/>
      </w:pPr>
      <w:r>
        <w:t xml:space="preserve">Arbitration logic is embedded inside the host applications.</w:t>
      </w:r>
    </w:p>
    <w:bookmarkEnd w:id="72"/>
    <w:bookmarkStart w:id="73" w:name="lease-invariant"/>
    <w:p>
      <w:pPr>
        <w:pStyle w:val="Heading2"/>
      </w:pPr>
      <w:r>
        <w:t xml:space="preserve">11.3 Lease Invariant</w:t>
      </w:r>
    </w:p>
    <w:p>
      <w:pPr>
        <w:pStyle w:val="FirstParagraph"/>
      </w:pPr>
      <w:r>
        <w:t xml:space="preserve">At most one active owner may exist for each exclusive lease type at a time.</w:t>
      </w:r>
    </w:p>
    <w:bookmarkEnd w:id="73"/>
    <w:bookmarkStart w:id="74" w:name="render-invariant"/>
    <w:p>
      <w:pPr>
        <w:pStyle w:val="Heading2"/>
      </w:pPr>
      <w:r>
        <w:t xml:space="preserve">11.4 Render Invariant</w:t>
      </w:r>
    </w:p>
    <w:p>
      <w:pPr>
        <w:pStyle w:val="FirstParagraph"/>
      </w:pPr>
      <w:r>
        <w:t xml:space="preserve">MetroPlay and MetroZone MUST NOT both remain render-active for overlapping exclusive engagement ownership during the same wake cycle.</w:t>
      </w:r>
    </w:p>
    <w:p>
      <w:pPr>
        <w:pStyle w:val="BodyText"/>
      </w:pPr>
      <w:r>
        <w:t xml:space="preserve">Even if multiple host UI surfaces exist internally, the arbitration layer MUST enforce a</w:t>
      </w:r>
      <w:r>
        <w:t xml:space="preserve"> </w:t>
      </w:r>
      <w:r>
        <w:rPr>
          <w:b/>
          <w:bCs/>
        </w:rPr>
        <w:t xml:space="preserve">single authoritative visible owner</w:t>
      </w:r>
      <w:r>
        <w:t xml:space="preserve"> </w:t>
      </w:r>
      <w:r>
        <w:t xml:space="preserve">for the governed engagement surface.</w:t>
      </w:r>
    </w:p>
    <w:bookmarkEnd w:id="74"/>
    <w:bookmarkStart w:id="75" w:name="session-invariant"/>
    <w:p>
      <w:pPr>
        <w:pStyle w:val="Heading2"/>
      </w:pPr>
      <w:r>
        <w:t xml:space="preserve">11.5 Session Invariant</w:t>
      </w:r>
    </w:p>
    <w:p>
      <w:pPr>
        <w:pStyle w:val="FirstParagraph"/>
      </w:pPr>
      <w:r>
        <w:t xml:space="preserve">No authoritative protocol message may be applied unless the peer session is valid for the current context, except for explicit recovery/reset flows.</w:t>
      </w:r>
    </w:p>
    <w:bookmarkEnd w:id="75"/>
    <w:bookmarkStart w:id="76" w:name="restart-invariant"/>
    <w:p>
      <w:pPr>
        <w:pStyle w:val="Heading2"/>
      </w:pPr>
      <w:r>
        <w:t xml:space="preserve">11.6 Restart Invariant</w:t>
      </w:r>
    </w:p>
    <w:p>
      <w:pPr>
        <w:pStyle w:val="FirstParagraph"/>
      </w:pPr>
      <w:r>
        <w:t xml:space="preserve">Host app restart MUST NOT implicitly preserve active lease ownership.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failure-containment-architecture"/>
    <w:p>
      <w:pPr>
        <w:pStyle w:val="Heading1"/>
      </w:pPr>
      <w:r>
        <w:t xml:space="preserve">12. Failure Containment Architecture</w:t>
      </w:r>
    </w:p>
    <w:bookmarkStart w:id="78" w:name="local-failure-types"/>
    <w:p>
      <w:pPr>
        <w:pStyle w:val="Heading2"/>
      </w:pPr>
      <w:r>
        <w:t xml:space="preserve">12.1 Local Failure Types</w:t>
      </w:r>
    </w:p>
    <w:p>
      <w:pPr>
        <w:pStyle w:val="FirstParagraph"/>
      </w:pPr>
      <w:r>
        <w:t xml:space="preserve">The architecture MUST account for:</w:t>
      </w:r>
    </w:p>
    <w:p>
      <w:pPr>
        <w:pStyle w:val="Compact"/>
        <w:numPr>
          <w:ilvl w:val="0"/>
          <w:numId w:val="1019"/>
        </w:numPr>
      </w:pPr>
      <w:r>
        <w:t xml:space="preserve">host app process restart</w:t>
      </w:r>
    </w:p>
    <w:p>
      <w:pPr>
        <w:pStyle w:val="Compact"/>
        <w:numPr>
          <w:ilvl w:val="0"/>
          <w:numId w:val="1019"/>
        </w:numPr>
      </w:pPr>
      <w:r>
        <w:t xml:space="preserve">embedded module error state</w:t>
      </w:r>
    </w:p>
    <w:p>
      <w:pPr>
        <w:pStyle w:val="Compact"/>
        <w:numPr>
          <w:ilvl w:val="0"/>
          <w:numId w:val="1019"/>
        </w:numPr>
      </w:pPr>
      <w:r>
        <w:t xml:space="preserve">peer endpoint unavailable</w:t>
      </w:r>
    </w:p>
    <w:p>
      <w:pPr>
        <w:pStyle w:val="Compact"/>
        <w:numPr>
          <w:ilvl w:val="0"/>
          <w:numId w:val="1019"/>
        </w:numPr>
      </w:pPr>
      <w:r>
        <w:t xml:space="preserve">heartbeat timeout</w:t>
      </w:r>
    </w:p>
    <w:p>
      <w:pPr>
        <w:pStyle w:val="Compact"/>
        <w:numPr>
          <w:ilvl w:val="0"/>
          <w:numId w:val="1019"/>
        </w:numPr>
      </w:pPr>
      <w:r>
        <w:t xml:space="preserve">lease expiry without release</w:t>
      </w:r>
    </w:p>
    <w:p>
      <w:pPr>
        <w:pStyle w:val="Compact"/>
        <w:numPr>
          <w:ilvl w:val="0"/>
          <w:numId w:val="1019"/>
        </w:numPr>
      </w:pPr>
      <w:r>
        <w:t xml:space="preserve">protocol desynchronization</w:t>
      </w:r>
    </w:p>
    <w:bookmarkEnd w:id="78"/>
    <w:bookmarkStart w:id="79" w:name="containment-rule"/>
    <w:p>
      <w:pPr>
        <w:pStyle w:val="Heading2"/>
      </w:pPr>
      <w:r>
        <w:t xml:space="preserve">12.2 Containment Rule</w:t>
      </w:r>
    </w:p>
    <w:p>
      <w:pPr>
        <w:pStyle w:val="FirstParagraph"/>
      </w:pPr>
      <w:r>
        <w:t xml:space="preserve">Failures MUST be contained within the affected host app/module boundary as much as possible. Peer recovery behavior must be explicit and deterministic.</w:t>
      </w:r>
    </w:p>
    <w:bookmarkEnd w:id="79"/>
    <w:bookmarkStart w:id="80" w:name="recovery-entry-points"/>
    <w:p>
      <w:pPr>
        <w:pStyle w:val="Heading2"/>
      </w:pPr>
      <w:r>
        <w:t xml:space="preserve">12.3 Recovery Entry Points</w:t>
      </w:r>
    </w:p>
    <w:p>
      <w:pPr>
        <w:pStyle w:val="FirstParagraph"/>
      </w:pPr>
      <w:r>
        <w:t xml:space="preserve">Recovery may be entered by:</w:t>
      </w:r>
    </w:p>
    <w:p>
      <w:pPr>
        <w:pStyle w:val="Compact"/>
        <w:numPr>
          <w:ilvl w:val="0"/>
          <w:numId w:val="1020"/>
        </w:numPr>
      </w:pPr>
      <w:r>
        <w:t xml:space="preserve">timeout manager</w:t>
      </w:r>
    </w:p>
    <w:p>
      <w:pPr>
        <w:pStyle w:val="Compact"/>
        <w:numPr>
          <w:ilvl w:val="0"/>
          <w:numId w:val="1020"/>
        </w:numPr>
      </w:pPr>
      <w:r>
        <w:t xml:space="preserve">protocol error handler</w:t>
      </w:r>
    </w:p>
    <w:p>
      <w:pPr>
        <w:pStyle w:val="Compact"/>
        <w:numPr>
          <w:ilvl w:val="0"/>
          <w:numId w:val="1020"/>
        </w:numPr>
      </w:pPr>
      <w:r>
        <w:t xml:space="preserve">dual ownership detector</w:t>
      </w:r>
    </w:p>
    <w:p>
      <w:pPr>
        <w:pStyle w:val="Compact"/>
        <w:numPr>
          <w:ilvl w:val="0"/>
          <w:numId w:val="1020"/>
        </w:numPr>
      </w:pPr>
      <w:r>
        <w:t xml:space="preserve">session reset path</w:t>
      </w:r>
    </w:p>
    <w:p>
      <w:pPr>
        <w:pStyle w:val="FirstParagraph"/>
      </w:pPr>
      <w:r>
        <w:t xml:space="preserve">Detailed recovery behavior is defined in Volumes 2, 3, 5, and 8.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Xcfc4a547779069e8e6012de4de20cdb605bbf18"/>
    <w:p>
      <w:pPr>
        <w:pStyle w:val="Heading1"/>
      </w:pPr>
      <w:r>
        <w:t xml:space="preserve">13. Persistent vs Non-Persistent Architecture State</w:t>
      </w:r>
    </w:p>
    <w:bookmarkStart w:id="82" w:name="persisted-data"/>
    <w:p>
      <w:pPr>
        <w:pStyle w:val="Heading2"/>
      </w:pPr>
      <w:r>
        <w:t xml:space="preserve">13.1 Persisted Data</w:t>
      </w:r>
    </w:p>
    <w:p>
      <w:pPr>
        <w:pStyle w:val="FirstParagraph"/>
      </w:pPr>
      <w:r>
        <w:t xml:space="preserve">The following MAY be persisted safely:</w:t>
      </w:r>
    </w:p>
    <w:p>
      <w:pPr>
        <w:pStyle w:val="Compact"/>
        <w:numPr>
          <w:ilvl w:val="0"/>
          <w:numId w:val="1021"/>
        </w:numPr>
      </w:pPr>
      <w:r>
        <w:t xml:space="preserve">trusted peer registry</w:t>
      </w:r>
    </w:p>
    <w:p>
      <w:pPr>
        <w:pStyle w:val="Compact"/>
        <w:numPr>
          <w:ilvl w:val="0"/>
          <w:numId w:val="1021"/>
        </w:numPr>
      </w:pPr>
      <w:r>
        <w:t xml:space="preserve">policy version</w:t>
      </w:r>
    </w:p>
    <w:p>
      <w:pPr>
        <w:pStyle w:val="Compact"/>
        <w:numPr>
          <w:ilvl w:val="0"/>
          <w:numId w:val="1021"/>
        </w:numPr>
      </w:pPr>
      <w:r>
        <w:t xml:space="preserve">non-sensitive diagnostics snapshots</w:t>
      </w:r>
    </w:p>
    <w:p>
      <w:pPr>
        <w:pStyle w:val="Compact"/>
        <w:numPr>
          <w:ilvl w:val="0"/>
          <w:numId w:val="1021"/>
        </w:numPr>
      </w:pPr>
      <w:r>
        <w:t xml:space="preserve">historical telemetry buffers</w:t>
      </w:r>
    </w:p>
    <w:bookmarkEnd w:id="82"/>
    <w:bookmarkStart w:id="83" w:name="non-persisted-runtime-state"/>
    <w:p>
      <w:pPr>
        <w:pStyle w:val="Heading2"/>
      </w:pPr>
      <w:r>
        <w:t xml:space="preserve">13.2 Non-Persisted Runtime State</w:t>
      </w:r>
    </w:p>
    <w:p>
      <w:pPr>
        <w:pStyle w:val="FirstParagraph"/>
      </w:pPr>
      <w:r>
        <w:t xml:space="preserve">The following MUST NOT be assumed valid across restart:</w:t>
      </w:r>
    </w:p>
    <w:p>
      <w:pPr>
        <w:pStyle w:val="Compact"/>
        <w:numPr>
          <w:ilvl w:val="0"/>
          <w:numId w:val="1022"/>
        </w:numPr>
      </w:pPr>
      <w:r>
        <w:t xml:space="preserve">active lease state</w:t>
      </w:r>
    </w:p>
    <w:p>
      <w:pPr>
        <w:pStyle w:val="Compact"/>
        <w:numPr>
          <w:ilvl w:val="0"/>
          <w:numId w:val="1022"/>
        </w:numPr>
      </w:pPr>
      <w:r>
        <w:t xml:space="preserve">peer synchronized state</w:t>
      </w:r>
    </w:p>
    <w:p>
      <w:pPr>
        <w:pStyle w:val="Compact"/>
        <w:numPr>
          <w:ilvl w:val="0"/>
          <w:numId w:val="1022"/>
        </w:numPr>
      </w:pPr>
      <w:r>
        <w:t xml:space="preserve">render-active state</w:t>
      </w:r>
    </w:p>
    <w:p>
      <w:pPr>
        <w:pStyle w:val="Compact"/>
        <w:numPr>
          <w:ilvl w:val="0"/>
          <w:numId w:val="1022"/>
        </w:numPr>
      </w:pPr>
      <w:r>
        <w:t xml:space="preserve">in-flight request ownership</w:t>
      </w:r>
    </w:p>
    <w:bookmarkEnd w:id="83"/>
    <w:bookmarkStart w:id="84" w:name="reconciliation-rule"/>
    <w:p>
      <w:pPr>
        <w:pStyle w:val="Heading2"/>
      </w:pPr>
      <w:r>
        <w:t xml:space="preserve">13.3 Reconciliation Rule</w:t>
      </w:r>
    </w:p>
    <w:p>
      <w:pPr>
        <w:pStyle w:val="FirstParagraph"/>
      </w:pPr>
      <w:r>
        <w:t xml:space="preserve">After restart, the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 </w:t>
      </w:r>
      <w:r>
        <w:t xml:space="preserve">MUST reconstruct operational truth through protocol/session re-establishment rather than trusting stale persisted runtime state.</w:t>
      </w:r>
    </w:p>
    <w:p>
      <w:pPr>
        <w:pStyle w:val="BodyText"/>
      </w:pPr>
      <w:r>
        <w:t xml:space="preserve">Host UI state alone MUST NOT be treated as proof of valid lease ownership or render ownership.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X14986ecfbbab89b63694787afab09dc989ca740"/>
    <w:p>
      <w:pPr>
        <w:pStyle w:val="Heading1"/>
      </w:pPr>
      <w:r>
        <w:t xml:space="preserve">14. Host App Responsibilities vs ArbitrationModule Responsibilities</w:t>
      </w:r>
    </w:p>
    <w:bookmarkStart w:id="86" w:name="host-app-responsibilities"/>
    <w:p>
      <w:pPr>
        <w:pStyle w:val="Heading2"/>
      </w:pPr>
      <w:r>
        <w:t xml:space="preserve">14.1 Host App Responsibilities</w:t>
      </w:r>
    </w:p>
    <w:p>
      <w:pPr>
        <w:pStyle w:val="FirstParagraph"/>
      </w:pPr>
      <w:r>
        <w:t xml:space="preserve">The host app is responsible for:</w:t>
      </w:r>
    </w:p>
    <w:p>
      <w:pPr>
        <w:pStyle w:val="Compact"/>
        <w:numPr>
          <w:ilvl w:val="0"/>
          <w:numId w:val="1023"/>
        </w:numPr>
      </w:pPr>
      <w:r>
        <w:t xml:space="preserve">rendering content</w:t>
      </w:r>
    </w:p>
    <w:p>
      <w:pPr>
        <w:pStyle w:val="Compact"/>
        <w:numPr>
          <w:ilvl w:val="0"/>
          <w:numId w:val="1023"/>
        </w:numPr>
      </w:pPr>
      <w:r>
        <w:t xml:space="preserve">maintaining core business logic</w:t>
      </w:r>
    </w:p>
    <w:p>
      <w:pPr>
        <w:pStyle w:val="Compact"/>
        <w:numPr>
          <w:ilvl w:val="0"/>
          <w:numId w:val="1023"/>
        </w:numPr>
      </w:pPr>
      <w:r>
        <w:t xml:space="preserve">exposing secure IPC service endpoint</w:t>
      </w:r>
    </w:p>
    <w:p>
      <w:pPr>
        <w:pStyle w:val="Compact"/>
        <w:numPr>
          <w:ilvl w:val="0"/>
          <w:numId w:val="1023"/>
        </w:numPr>
      </w:pPr>
      <w:r>
        <w:t xml:space="preserve">surfacing lifecycle signals to the embedded module</w:t>
      </w:r>
    </w:p>
    <w:p>
      <w:pPr>
        <w:pStyle w:val="Compact"/>
        <w:numPr>
          <w:ilvl w:val="0"/>
          <w:numId w:val="1023"/>
        </w:numPr>
      </w:pPr>
      <w:r>
        <w:t xml:space="preserve">routing telemetry through existing analytics infrastructure</w:t>
      </w:r>
    </w:p>
    <w:bookmarkEnd w:id="86"/>
    <w:bookmarkStart w:id="87" w:name="arbitrationmodule-responsibilities"/>
    <w:p>
      <w:pPr>
        <w:pStyle w:val="Heading2"/>
      </w:pPr>
      <w:r>
        <w:t xml:space="preserve">14.2 ArbitrationModule Responsibilities</w:t>
      </w:r>
    </w:p>
    <w:p>
      <w:pPr>
        <w:pStyle w:val="FirstParagraph"/>
      </w:pPr>
      <w:r>
        <w:t xml:space="preserve">The embedded module is responsible for:</w:t>
      </w:r>
    </w:p>
    <w:p>
      <w:pPr>
        <w:pStyle w:val="Compact"/>
        <w:numPr>
          <w:ilvl w:val="0"/>
          <w:numId w:val="1024"/>
        </w:numPr>
      </w:pPr>
      <w:r>
        <w:t xml:space="preserve">arbitration runtime decisions</w:t>
      </w:r>
    </w:p>
    <w:p>
      <w:pPr>
        <w:pStyle w:val="Compact"/>
        <w:numPr>
          <w:ilvl w:val="0"/>
          <w:numId w:val="1024"/>
        </w:numPr>
      </w:pPr>
      <w:r>
        <w:t xml:space="preserve">protocol handling</w:t>
      </w:r>
    </w:p>
    <w:p>
      <w:pPr>
        <w:pStyle w:val="Compact"/>
        <w:numPr>
          <w:ilvl w:val="0"/>
          <w:numId w:val="1024"/>
        </w:numPr>
      </w:pPr>
      <w:r>
        <w:t xml:space="preserve">lease management</w:t>
      </w:r>
    </w:p>
    <w:p>
      <w:pPr>
        <w:pStyle w:val="Compact"/>
        <w:numPr>
          <w:ilvl w:val="0"/>
          <w:numId w:val="1024"/>
        </w:numPr>
      </w:pPr>
      <w:r>
        <w:t xml:space="preserve">readiness publication</w:t>
      </w:r>
    </w:p>
    <w:p>
      <w:pPr>
        <w:pStyle w:val="Compact"/>
        <w:numPr>
          <w:ilvl w:val="0"/>
          <w:numId w:val="1024"/>
        </w:numPr>
      </w:pPr>
      <w:r>
        <w:t xml:space="preserve">peer coordination</w:t>
      </w:r>
    </w:p>
    <w:p>
      <w:pPr>
        <w:pStyle w:val="Compact"/>
        <w:numPr>
          <w:ilvl w:val="0"/>
          <w:numId w:val="1024"/>
        </w:numPr>
      </w:pPr>
      <w:r>
        <w:t xml:space="preserve">security enforcement for arbitration traffic</w:t>
      </w:r>
    </w:p>
    <w:p>
      <w:pPr>
        <w:pStyle w:val="Compact"/>
        <w:numPr>
          <w:ilvl w:val="0"/>
          <w:numId w:val="1024"/>
        </w:numPr>
      </w:pPr>
      <w:r>
        <w:t xml:space="preserve">operational telemetry emission for arbitration events</w:t>
      </w:r>
    </w:p>
    <w:bookmarkEnd w:id="87"/>
    <w:bookmarkStart w:id="88" w:name="boundary-rule"/>
    <w:p>
      <w:pPr>
        <w:pStyle w:val="Heading2"/>
      </w:pPr>
      <w:r>
        <w:t xml:space="preserve">14.3 Boundary Rule</w:t>
      </w:r>
    </w:p>
    <w:p>
      <w:pPr>
        <w:pStyle w:val="FirstParagraph"/>
      </w:pPr>
      <w:r>
        <w:t xml:space="preserve">The host application MUST NOT bypass the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 </w:t>
      </w:r>
      <w:r>
        <w:t xml:space="preserve">for actions affecting refresh, stage, or render ownership.</w:t>
      </w:r>
    </w:p>
    <w:p>
      <w:pPr>
        <w:pStyle w:val="BodyText"/>
      </w:pPr>
      <w:r>
        <w:t xml:space="preserve">Any such action MUST pass through the arbitration control path unless explicitly defined as recovery or debug-only behavior.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architecture-initialization-sequence"/>
    <w:p>
      <w:pPr>
        <w:pStyle w:val="Heading1"/>
      </w:pPr>
      <w:r>
        <w:t xml:space="preserve">15. Architecture Initialization Sequence</w:t>
      </w:r>
    </w:p>
    <w:p>
      <w:pPr>
        <w:pStyle w:val="FirstParagraph"/>
      </w:pPr>
      <w:r>
        <w:t xml:space="preserve">On host application startup or module restart, the following sequence SHOULD occur:</w:t>
      </w:r>
    </w:p>
    <w:p>
      <w:pPr>
        <w:pStyle w:val="SourceCode"/>
      </w:pPr>
      <w:r>
        <w:rPr>
          <w:rStyle w:val="VerbatimChar"/>
        </w:rPr>
        <w:t xml:space="preserve">1. Initialize ArbitrationModule</w:t>
      </w:r>
      <w:r>
        <w:br/>
      </w:r>
      <w:r>
        <w:rPr>
          <w:rStyle w:val="VerbatimChar"/>
        </w:rPr>
        <w:t xml:space="preserve">2. Load trusted peer registry and policy snapshot</w:t>
      </w:r>
      <w:r>
        <w:br/>
      </w:r>
      <w:r>
        <w:rPr>
          <w:rStyle w:val="VerbatimChar"/>
        </w:rPr>
        <w:t xml:space="preserve">3. Initialize runtime state to IDLE</w:t>
      </w:r>
      <w:r>
        <w:br/>
      </w:r>
      <w:r>
        <w:rPr>
          <w:rStyle w:val="VerbatimChar"/>
        </w:rPr>
        <w:t xml:space="preserve">4. Resolve peer endpoint if available</w:t>
      </w:r>
      <w:r>
        <w:br/>
      </w:r>
      <w:r>
        <w:rPr>
          <w:rStyle w:val="VerbatimChar"/>
        </w:rPr>
        <w:t xml:space="preserve">5. Begin secure session establishment</w:t>
      </w:r>
      <w:r>
        <w:br/>
      </w:r>
      <w:r>
        <w:rPr>
          <w:rStyle w:val="VerbatimChar"/>
        </w:rPr>
        <w:t xml:space="preserve">6. Start lifecycle observation</w:t>
      </w:r>
      <w:r>
        <w:br/>
      </w:r>
      <w:r>
        <w:rPr>
          <w:rStyle w:val="VerbatimChar"/>
        </w:rPr>
        <w:t xml:space="preserve">7. Start timeout/heartbeat monitoring</w:t>
      </w:r>
      <w:r>
        <w:br/>
      </w:r>
      <w:r>
        <w:rPr>
          <w:rStyle w:val="VerbatimChar"/>
        </w:rPr>
        <w:t xml:space="preserve">8. Enter normal arbitration operation</w:t>
      </w:r>
    </w:p>
    <w:p>
      <w:pPr>
        <w:pStyle w:val="FirstParagraph"/>
      </w:pPr>
      <w:r>
        <w:t xml:space="preserve">If the peer endpoint is not yet available, the module MUST remain in a</w:t>
      </w:r>
      <w:r>
        <w:t xml:space="preserve"> </w:t>
      </w:r>
      <w:r>
        <w:rPr>
          <w:b/>
          <w:bCs/>
        </w:rPr>
        <w:t xml:space="preserve">non-synchronized local state</w:t>
      </w:r>
      <w:r>
        <w:t xml:space="preserve"> </w:t>
      </w:r>
      <w:r>
        <w:t xml:space="preserve">and retry peer discovery using a bounded retry strategy.</w:t>
      </w:r>
    </w:p>
    <w:p>
      <w:pPr>
        <w:pStyle w:val="BodyText"/>
      </w:pPr>
      <w:r>
        <w:t xml:space="preserve">No active lease ownership may be assumed until session establishment and runtime initialization complete.</w:t>
      </w:r>
    </w:p>
    <w:p>
      <w:r>
        <w:pict>
          <v:rect style="width:0;height:1.5pt" o:hralign="center" o:hrstd="t" o:hr="t"/>
        </w:pict>
      </w:r>
    </w:p>
    <w:bookmarkEnd w:id="90"/>
    <w:bookmarkStart w:id="91" w:name="cross-volume-mapping"/>
    <w:p>
      <w:pPr>
        <w:pStyle w:val="Heading1"/>
      </w:pPr>
      <w:r>
        <w:t xml:space="preserve">16. Cross-Volume Mapping</w:t>
      </w:r>
    </w:p>
    <w:p>
      <w:pPr>
        <w:pStyle w:val="FirstParagraph"/>
      </w:pPr>
      <w:r>
        <w:t xml:space="preserve">This volume defines architecture boundaries and deployment shape.</w:t>
      </w:r>
    </w:p>
    <w:p>
      <w:pPr>
        <w:pStyle w:val="Compact"/>
        <w:numPr>
          <w:ilvl w:val="0"/>
          <w:numId w:val="1025"/>
        </w:numPr>
      </w:pPr>
      <w:r>
        <w:t xml:space="preserve">Volume 2 defines runtime algorithms executed inside the RuntimeEngine</w:t>
      </w:r>
    </w:p>
    <w:p>
      <w:pPr>
        <w:pStyle w:val="Compact"/>
        <w:numPr>
          <w:ilvl w:val="0"/>
          <w:numId w:val="1025"/>
        </w:numPr>
      </w:pPr>
      <w:r>
        <w:t xml:space="preserve">Volume 3 defines inter-app protocol carried over IPC endpoints</w:t>
      </w:r>
    </w:p>
    <w:p>
      <w:pPr>
        <w:pStyle w:val="Compact"/>
        <w:numPr>
          <w:ilvl w:val="0"/>
          <w:numId w:val="1025"/>
        </w:numPr>
      </w:pPr>
      <w:r>
        <w:t xml:space="preserve">Volume 4 defines operational observability emitted by TelemetryEmitter</w:t>
      </w:r>
    </w:p>
    <w:p>
      <w:pPr>
        <w:pStyle w:val="Compact"/>
        <w:numPr>
          <w:ilvl w:val="0"/>
          <w:numId w:val="1025"/>
        </w:numPr>
      </w:pPr>
      <w:r>
        <w:t xml:space="preserve">Volume 5 defines trust enforcement executed by SecurityValidator</w:t>
      </w:r>
    </w:p>
    <w:p>
      <w:pPr>
        <w:pStyle w:val="Compact"/>
        <w:numPr>
          <w:ilvl w:val="0"/>
          <w:numId w:val="1025"/>
        </w:numPr>
      </w:pPr>
      <w:r>
        <w:t xml:space="preserve">Volume 6 defines developer implementation guidance</w:t>
      </w:r>
    </w:p>
    <w:p>
      <w:pPr>
        <w:pStyle w:val="Compact"/>
        <w:numPr>
          <w:ilvl w:val="0"/>
          <w:numId w:val="1025"/>
        </w:numPr>
      </w:pPr>
      <w:r>
        <w:t xml:space="preserve">Volume 7 defines low-level arbitration formulas and guardrails</w:t>
      </w:r>
    </w:p>
    <w:p>
      <w:pPr>
        <w:pStyle w:val="Compact"/>
        <w:numPr>
          <w:ilvl w:val="0"/>
          <w:numId w:val="1025"/>
        </w:numPr>
      </w:pPr>
      <w:r>
        <w:t xml:space="preserve">Volume 8 defines formal state machines and recovery state transitions</w:t>
      </w:r>
    </w:p>
    <w:p>
      <w:r>
        <w:pict>
          <v:rect style="width:0;height:1.5pt" o:hralign="center" o:hrstd="t" o:hr="t"/>
        </w:pict>
      </w:r>
    </w:p>
    <w:bookmarkEnd w:id="91"/>
    <w:bookmarkStart w:id="92" w:name="summary"/>
    <w:p>
      <w:pPr>
        <w:pStyle w:val="Heading1"/>
      </w:pPr>
      <w:r>
        <w:t xml:space="preserve">17. Summary</w:t>
      </w:r>
    </w:p>
    <w:p>
      <w:pPr>
        <w:pStyle w:val="FirstParagraph"/>
      </w:pPr>
      <w:r>
        <w:t xml:space="preserve">Volume 1 defines the</w:t>
      </w:r>
      <w:r>
        <w:t xml:space="preserve"> </w:t>
      </w:r>
      <w:r>
        <w:rPr>
          <w:b/>
          <w:bCs/>
        </w:rPr>
        <w:t xml:space="preserve">low-level architecture contract</w:t>
      </w:r>
      <w:r>
        <w:t xml:space="preserve"> </w:t>
      </w:r>
      <w:r>
        <w:t xml:space="preserve">for the Lock / Unlock Screen Inter-App Arbitration framework.</w:t>
      </w:r>
    </w:p>
    <w:p>
      <w:pPr>
        <w:pStyle w:val="BodyText"/>
      </w:pPr>
      <w:r>
        <w:t xml:space="preserve">It establishes:</w:t>
      </w:r>
    </w:p>
    <w:p>
      <w:pPr>
        <w:pStyle w:val="Compact"/>
        <w:numPr>
          <w:ilvl w:val="0"/>
          <w:numId w:val="1026"/>
        </w:numPr>
      </w:pPr>
      <w:r>
        <w:t xml:space="preserve">the two-host deployment model</w:t>
      </w:r>
    </w:p>
    <w:p>
      <w:pPr>
        <w:pStyle w:val="Compact"/>
        <w:numPr>
          <w:ilvl w:val="0"/>
          <w:numId w:val="1026"/>
        </w:numPr>
      </w:pPr>
      <w:r>
        <w:t xml:space="preserve">embedded</w:t>
      </w:r>
      <w:r>
        <w:t xml:space="preserve"> </w:t>
      </w:r>
      <w:r>
        <w:rPr>
          <w:rStyle w:val="VerbatimChar"/>
        </w:rPr>
        <w:t xml:space="preserve">ArbitrationModule</w:t>
      </w:r>
      <w:r>
        <w:t xml:space="preserve"> </w:t>
      </w:r>
      <w:r>
        <w:t xml:space="preserve">boundaries</w:t>
      </w:r>
    </w:p>
    <w:p>
      <w:pPr>
        <w:pStyle w:val="Compact"/>
        <w:numPr>
          <w:ilvl w:val="0"/>
          <w:numId w:val="1026"/>
        </w:numPr>
      </w:pPr>
      <w:r>
        <w:t xml:space="preserve">subcomponent decomposition</w:t>
      </w:r>
    </w:p>
    <w:p>
      <w:pPr>
        <w:pStyle w:val="Compact"/>
        <w:numPr>
          <w:ilvl w:val="0"/>
          <w:numId w:val="1026"/>
        </w:numPr>
      </w:pPr>
      <w:r>
        <w:t xml:space="preserve">lifecycle integration</w:t>
      </w:r>
    </w:p>
    <w:p>
      <w:pPr>
        <w:pStyle w:val="Compact"/>
        <w:numPr>
          <w:ilvl w:val="0"/>
          <w:numId w:val="1026"/>
        </w:numPr>
      </w:pPr>
      <w:r>
        <w:t xml:space="preserve">rights separation</w:t>
      </w:r>
    </w:p>
    <w:p>
      <w:pPr>
        <w:pStyle w:val="Compact"/>
        <w:numPr>
          <w:ilvl w:val="0"/>
          <w:numId w:val="1026"/>
        </w:numPr>
      </w:pPr>
      <w:r>
        <w:t xml:space="preserve">IPC topology</w:t>
      </w:r>
    </w:p>
    <w:p>
      <w:pPr>
        <w:pStyle w:val="Compact"/>
        <w:numPr>
          <w:ilvl w:val="0"/>
          <w:numId w:val="1026"/>
        </w:numPr>
      </w:pPr>
      <w:r>
        <w:t xml:space="preserve">threading boundaries</w:t>
      </w:r>
    </w:p>
    <w:p>
      <w:pPr>
        <w:pStyle w:val="Compact"/>
        <w:numPr>
          <w:ilvl w:val="0"/>
          <w:numId w:val="1026"/>
        </w:numPr>
      </w:pPr>
      <w:r>
        <w:t xml:space="preserve">architecture invariants</w:t>
      </w:r>
    </w:p>
    <w:p>
      <w:pPr>
        <w:pStyle w:val="Compact"/>
        <w:numPr>
          <w:ilvl w:val="0"/>
          <w:numId w:val="1026"/>
        </w:numPr>
      </w:pPr>
      <w:r>
        <w:t xml:space="preserve">failure containment rules</w:t>
      </w:r>
    </w:p>
    <w:p>
      <w:pPr>
        <w:pStyle w:val="Compact"/>
        <w:numPr>
          <w:ilvl w:val="0"/>
          <w:numId w:val="1026"/>
        </w:numPr>
      </w:pPr>
      <w:r>
        <w:t xml:space="preserve">initialization behavior</w:t>
      </w:r>
    </w:p>
    <w:p>
      <w:pPr>
        <w:pStyle w:val="FirstParagraph"/>
      </w:pPr>
      <w:r>
        <w:t xml:space="preserve">This architectural specification provides the structural foundation required for all subsequent volumes of the arbitration framework.</w:t>
      </w:r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2026-03-16T08:12:04Z</dcterms:created>
  <dcterms:modified xsi:type="dcterms:W3CDTF">2026-03-16T08:12:04Z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