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Review &amp; Submission Preparation</w:t>
      </w:r>
    </w:p>
    <w:p/>
    <w:p>
      <w:r>
        <w:t>Included Artifacts:</w:t>
      </w:r>
    </w:p>
    <w:p>
      <w:r>
        <w:t>- Briefing</w:t>
      </w:r>
    </w:p>
    <w:p>
      <w:r>
        <w:t>- High-Level Design</w:t>
      </w:r>
    </w:p>
    <w:p>
      <w:r>
        <w:t>- Detailed Engineering Documentation</w:t>
      </w:r>
    </w:p>
    <w:p>
      <w:r>
        <w:t>- System Architecture Diagrams</w:t>
      </w:r>
    </w:p>
    <w:p>
      <w:r>
        <w:t>- AI Model Description</w:t>
      </w:r>
    </w:p>
    <w:p>
      <w:r>
        <w:t>- Claims Drafting</w:t>
      </w:r>
    </w:p>
    <w:p>
      <w:r>
        <w:t>- Prior Art Analysis</w:t>
      </w:r>
    </w:p>
    <w:p/>
    <w:p>
      <w:r>
        <w:t>Next Steps:</w:t>
      </w:r>
    </w:p>
    <w:p>
      <w:r>
        <w:t>- Create USPTO-ready abstract</w:t>
      </w:r>
    </w:p>
    <w:p>
      <w:r>
        <w:t>- Drawings formatted in USPTO black-line style</w:t>
      </w:r>
    </w:p>
    <w:p>
      <w:r>
        <w:t>- Validate claims breadth with legal counsel</w:t>
      </w:r>
    </w:p>
    <w:p>
      <w:r>
        <w:t>- Combine into final .docx and .pdf packages</w:t>
      </w:r>
    </w:p>
    <w:p>
      <w:r>
        <w:t>- Conduct internal review for regulatory compliance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