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Sensor AI Predictive Next Best Actions</w:t>
      </w:r>
    </w:p>
    <w:p>
      <w:r>
        <w:t>Patent Briefing</w:t>
      </w:r>
    </w:p>
    <w:p/>
    <w:p>
      <w:r>
        <w:t>This invention defines a carrier‑integrated, on‑device Sensor AI system that predicts user intent using real‑time sensor fusion and generates context‑aware Next Best Actions (NBA). Unlike lock‑screen engagement or location-based advertising, this system uses non-location signals including accelerometer, gyroscope, barometer, proximity, WiFi signatures, accessory events, USB events, app-sequence analysis, idle-state detection, and system friction triggers (storage alerts, battery degradation, thermal throttling, etc.).</w:t>
      </w:r>
    </w:p>
    <w:p/>
    <w:p>
      <w:r>
        <w:t>The system identifies high‑value “intent moments” and surfaces context-appropriate app suggestions, partner offers, task flows, or commerce actions through OS-level surfaces not traditionally monetized. These include accessory-triggered floats, WiFi-specific context cards, system friction surfaces, predictive flow continuation panels, task-intercept surfaces, and deep intent bundles.</w:t>
      </w:r>
    </w:p>
    <w:p/>
    <w:p>
      <w:r>
        <w:t>This briefing summarizes the invention scope, core novelty, monetization framework, architecture assumptions, carrier capabilities, and platform compliance strategy (DMA-safe, OS-permission safe).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