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Patent Claims &amp; Novelty Statement – Content-Aware Widget Refresh Arbitration</w:t>
      </w:r>
    </w:p>
    <w:p>
      <w:pPr>
        <w:pStyle w:val="IntenseQuote"/>
      </w:pPr>
      <w:r>
        <w:t>**Inventor: Billy G. McCracken Jr – T-Mobile Confidential – Copyright 2025**</w:t>
      </w:r>
    </w:p>
    <w:p>
      <w:pPr>
        <w:pStyle w:val="Heading1"/>
      </w:pPr>
      <w:r>
        <w:t>1. Novelty Statement</w:t>
      </w:r>
    </w:p>
    <w:p>
      <w:r>
        <w:br/>
        <w:t>This invention introduces a Content-Aware Widget Refresh Arbitration Engine that intelligently suppresses or refreshes lock screen widgets based on context, user behavior, and content prioritization.</w:t>
        <w:br/>
        <w:t>Unlike traditional systems that refresh all widgets at lock/unlock indiscriminately, this engine evaluates engagement likelihood and content value before triggering an update.</w:t>
        <w:br/>
        <w:t>The arbitration logic ensures that users only see refreshed widgets when there is meaningful, timely, or personalized content, while conserving device resources and avoiding clutter.</w:t>
        <w:br/>
        <w:t>It seamlessly integrates with the broader Lock Screen Arbitration System and allows for app-specific rules and carrier-level overrides.</w:t>
        <w:br/>
      </w:r>
    </w:p>
    <w:p>
      <w:pPr>
        <w:pStyle w:val="Heading1"/>
      </w:pPr>
      <w:r>
        <w:t>2. Patent Claims (Draft)</w:t>
      </w:r>
    </w:p>
    <w:p>
      <w:r>
        <w:br/>
        <w:t>1. A method for selectively refreshing lock screen widget content on a computing device, comprising:</w:t>
        <w:br/>
        <w:t xml:space="preserve">   (a) detecting a lock or unlock event;</w:t>
        <w:br/>
        <w:t xml:space="preserve">   (b) identifying current widget content state;</w:t>
        <w:br/>
        <w:t xml:space="preserve">   (c) scoring the content priority using context data and metadata;</w:t>
        <w:br/>
        <w:t xml:space="preserve">   (d) evaluating the likelihood of user engagement with the widget;</w:t>
        <w:br/>
        <w:t xml:space="preserve">   (e) determining whether to refresh or suppress the widget content based on scoring thresholds.</w:t>
        <w:br/>
        <w:br/>
        <w:t>2. The method of claim 1, wherein the content priority score includes content type, last refresh time, user interaction history, and source app score.</w:t>
        <w:br/>
        <w:br/>
        <w:t>3. The method of claim 1, wherein the likelihood of engagement is predicted using machine learning models based on past behavior.</w:t>
        <w:br/>
        <w:br/>
        <w:t>4. The method of claim 1, wherein the system suppresses widget refresh when the engagement likelihood is below a configurable threshold.</w:t>
        <w:br/>
        <w:br/>
        <w:t>5. A system comprising:</w:t>
        <w:br/>
        <w:t xml:space="preserve">   (a) a widget refresh arbitration engine;</w:t>
        <w:br/>
        <w:t xml:space="preserve">   (b) a content scoring module;</w:t>
        <w:br/>
        <w:t xml:space="preserve">   (c) an engagement prediction model;</w:t>
        <w:br/>
        <w:t xml:space="preserve">   (d) a decision logic unit that refreshes or suppresses widget updates during lock or unlock events.</w:t>
        <w:br/>
        <w:br/>
        <w:t>6. The system of claim 5, wherein the arbitration engine supports carrier-defined widget override policies.</w:t>
        <w:br/>
        <w:br/>
        <w:t>7. The system of claim 5, wherein the arbitration engine logs widget refresh decisions and user interaction results for telemetry or training purposes.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