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21026c27634d844ef6ccf216d2e9ade142b46"/>
    <w:p>
      <w:pPr>
        <w:pStyle w:val="1"/>
      </w:pPr>
      <w:r>
        <w:t xml:space="preserve">03-10 Workshop: T-Mobile Carrier Middleware, AI Personalization, and Inter-App Arbitration</w:t>
      </w:r>
    </w:p>
    <w:p>
      <w:r>
        <w:pict>
          <v:rect style="width:0;height:1.5pt" o:hralign="center" o:hrstd="t" o:hr="t"/>
        </w:pict>
      </w:r>
    </w:p>
    <w:bookmarkEnd w:id="20"/>
    <w:bookmarkStart w:id="21" w:name="stakeholders"/>
    <w:p>
      <w:pPr>
        <w:pStyle w:val="1"/>
      </w:pPr>
      <w:r>
        <w:t xml:space="preserve">Stakeholders</w:t>
      </w:r>
    </w:p>
    <w:p>
      <w:pPr>
        <w:pStyle w:val="Compact"/>
        <w:numPr>
          <w:ilvl w:val="0"/>
          <w:numId w:val="1001"/>
        </w:numPr>
      </w:pPr>
      <w:r>
        <w:t xml:space="preserve">Bill Mc (Product/Program lead driving media layer and OOB experience; technical/system details; architecture; inter-app arbitration)</w:t>
      </w:r>
    </w:p>
    <w:p>
      <w:pPr>
        <w:pStyle w:val="Compact"/>
        <w:numPr>
          <w:ilvl w:val="0"/>
          <w:numId w:val="1001"/>
        </w:numPr>
      </w:pPr>
      <w:r>
        <w:t xml:space="preserve">Michael Piper (Advisor/consultant focusing on IP/patent positioning; requirements probing; technical lead/architect)</w:t>
      </w:r>
    </w:p>
    <w:p>
      <w:pPr>
        <w:pStyle w:val="Compact"/>
        <w:numPr>
          <w:ilvl w:val="0"/>
          <w:numId w:val="1001"/>
        </w:numPr>
      </w:pPr>
      <w:r>
        <w:t xml:space="preserve">Gayatry Nair (Patent/requirements facilitator; references provisional application and middleware concept; legal/patent specialist)</w:t>
      </w:r>
    </w:p>
    <w:bookmarkEnd w:id="21"/>
    <w:p>
      <w:pPr>
        <w:pStyle w:val="1"/>
      </w:pPr>
    </w:p>
    <w:bookmarkStart w:id="22" w:name="functional-requirements"/>
    <w:p>
      <w:pPr>
        <w:pStyle w:val="21"/>
      </w:pPr>
      <w:r>
        <w:t xml:space="preserve">Functional Requirements</w:t>
      </w:r>
    </w:p>
    <w:p>
      <w:pPr>
        <w:numPr>
          <w:ilvl w:val="0"/>
          <w:numId w:val="1002"/>
        </w:numPr>
      </w:pPr>
      <w:r>
        <w:t xml:space="preserve">Onboarding and migration</w:t>
      </w:r>
    </w:p>
    <w:p>
      <w:pPr>
        <w:pStyle w:val="Compact"/>
        <w:numPr>
          <w:ilvl w:val="1"/>
          <w:numId w:val="1003"/>
        </w:numPr>
      </w:pPr>
      <w:r>
        <w:t xml:space="preserve">Support two onboarding pathways: Standard Out-of-Box (OOB) for new/unknown customers; Device Upgrade for known customers with telemetry/personas</w:t>
      </w:r>
    </w:p>
    <w:p>
      <w:pPr>
        <w:pStyle w:val="Compact"/>
        <w:numPr>
          <w:ilvl w:val="1"/>
          <w:numId w:val="1003"/>
        </w:numPr>
      </w:pPr>
      <w:r>
        <w:t xml:space="preserve">Carrier-layer middleware (“media layer” / “Device AI Custom Profile”) to capture, store, and reapply configuration “persona bits” across devices and form factors</w:t>
      </w:r>
    </w:p>
    <w:p>
      <w:pPr>
        <w:pStyle w:val="Compact"/>
        <w:numPr>
          <w:ilvl w:val="1"/>
          <w:numId w:val="1003"/>
        </w:numPr>
      </w:pPr>
      <w:r>
        <w:t xml:space="preserve">Snapshot, restore, and import device settings (work/home profiles; fonts, brightness, grids, Wi-Fi priority, 5G settings), apps, layouts, widgets, and app-specific configurations</w:t>
      </w:r>
    </w:p>
    <w:p>
      <w:pPr>
        <w:pStyle w:val="Compact"/>
        <w:numPr>
          <w:ilvl w:val="1"/>
          <w:numId w:val="1003"/>
        </w:numPr>
      </w:pPr>
      <w:r>
        <w:t xml:space="preserve">Staged load: preload essentials and app stubs/placeholders; fetch heavier data post-setup, enabling early usability</w:t>
      </w:r>
    </w:p>
    <w:p>
      <w:pPr>
        <w:pStyle w:val="Compact"/>
        <w:numPr>
          <w:ilvl w:val="1"/>
          <w:numId w:val="1003"/>
        </w:numPr>
      </w:pPr>
      <w:r>
        <w:t xml:space="preserve">Cross-carrier and foreign device migration via temporary carrier takeover (e.g., SIM swap), permissions prompts, telemetry capture, and profile push</w:t>
      </w:r>
    </w:p>
    <w:p>
      <w:pPr>
        <w:pStyle w:val="Compact"/>
        <w:numPr>
          <w:ilvl w:val="1"/>
          <w:numId w:val="1003"/>
        </w:numPr>
      </w:pPr>
      <w:r>
        <w:t xml:space="preserve">Exceed OEM tools (e.g., Smart Switch) by preserving deeper settings and carrier-level preferences; coexist and orchestrate to avoid race conditions</w:t>
      </w:r>
    </w:p>
    <w:p>
      <w:pPr>
        <w:numPr>
          <w:ilvl w:val="0"/>
          <w:numId w:val="1003"/>
        </w:numPr>
      </w:pPr>
      <w:r>
        <w:t xml:space="preserve">AI-driven personalization</w:t>
      </w:r>
    </w:p>
    <w:p>
      <w:pPr>
        <w:pStyle w:val="Compact"/>
        <w:numPr>
          <w:ilvl w:val="1"/>
          <w:numId w:val="1004"/>
        </w:numPr>
      </w:pPr>
      <w:r>
        <w:t xml:space="preserve">Continuous persona development using multi-source metadata and telemetry (device, billing, T-Ads)</w:t>
      </w:r>
    </w:p>
    <w:p>
      <w:pPr>
        <w:pStyle w:val="Compact"/>
        <w:numPr>
          <w:ilvl w:val="1"/>
          <w:numId w:val="1004"/>
        </w:numPr>
      </w:pPr>
      <w:r>
        <w:t xml:space="preserve">AI recommendations to avoid irrelevant preloads; suggest app additions/removals, re-engagement, and fixes based on usage patterns and layout intelligence</w:t>
      </w:r>
    </w:p>
    <w:p>
      <w:pPr>
        <w:pStyle w:val="Compact"/>
        <w:numPr>
          <w:ilvl w:val="1"/>
          <w:numId w:val="1004"/>
        </w:numPr>
      </w:pPr>
      <w:r>
        <w:t xml:space="preserve">Intelligent app placement: propose pages, folders, proximity to related apps; auto-create context folders (e.g., Sports, Travel) with TTL</w:t>
      </w:r>
    </w:p>
    <w:p>
      <w:pPr>
        <w:pStyle w:val="Compact"/>
        <w:numPr>
          <w:ilvl w:val="1"/>
          <w:numId w:val="1004"/>
        </w:numPr>
      </w:pPr>
      <w:r>
        <w:t xml:space="preserve">Respect user organizational patterns (e.g., color-based folders); provide preview and one-tap undo/rollback</w:t>
      </w:r>
    </w:p>
    <w:p>
      <w:pPr>
        <w:numPr>
          <w:ilvl w:val="0"/>
          <w:numId w:val="1004"/>
        </w:numPr>
      </w:pPr>
      <w:r>
        <w:t xml:space="preserve">Inter-app arbitration and lock screen content management</w:t>
      </w:r>
    </w:p>
    <w:p>
      <w:pPr>
        <w:pStyle w:val="Compact"/>
        <w:numPr>
          <w:ilvl w:val="1"/>
          <w:numId w:val="1005"/>
        </w:numPr>
      </w:pPr>
      <w:r>
        <w:t xml:space="preserve">Inter-app arbitration to prevent conflicts among competing apps (e.g., lock/unlock providers), including controller-based and widget arbitration</w:t>
      </w:r>
    </w:p>
    <w:p>
      <w:pPr>
        <w:pStyle w:val="Compact"/>
        <w:numPr>
          <w:ilvl w:val="1"/>
          <w:numId w:val="1005"/>
        </w:numPr>
      </w:pPr>
      <w:r>
        <w:t xml:space="preserve">Protocol-based messaging for coordination among apps/widgets/controllers</w:t>
      </w:r>
    </w:p>
    <w:p>
      <w:pPr>
        <w:pStyle w:val="Compact"/>
        <w:numPr>
          <w:ilvl w:val="1"/>
          <w:numId w:val="1005"/>
        </w:numPr>
      </w:pPr>
      <w:r>
        <w:t xml:space="preserve">Multi-lock-screen content refresh handling: balance vendor expiry intervals; debounce/throttle refreshes; offline content refresh with caching and synchronization</w:t>
      </w:r>
    </w:p>
    <w:p>
      <w:pPr>
        <w:numPr>
          <w:ilvl w:val="0"/>
          <w:numId w:val="1005"/>
        </w:numPr>
      </w:pPr>
      <w:r>
        <w:t xml:space="preserve">Ecosystem extensions</w:t>
      </w:r>
    </w:p>
    <w:p>
      <w:pPr>
        <w:pStyle w:val="Compact"/>
        <w:numPr>
          <w:ilvl w:val="1"/>
          <w:numId w:val="1006"/>
        </w:numPr>
      </w:pPr>
      <w:r>
        <w:t xml:space="preserve">Central profile store reusable across device transitions (phone, tablet, smart TV, home internet, IoT) where feasible via OEM/APIs</w:t>
      </w:r>
    </w:p>
    <w:p>
      <w:pPr>
        <w:pStyle w:val="Compact"/>
        <w:numPr>
          <w:ilvl w:val="1"/>
          <w:numId w:val="1006"/>
        </w:numPr>
      </w:pPr>
      <w:r>
        <w:t xml:space="preserve">Enforce T-Mobile OEM specifications enabling carrier tools to apply configurations post-day-one</w:t>
      </w:r>
    </w:p>
    <w:p>
      <w:pPr>
        <w:numPr>
          <w:ilvl w:val="0"/>
          <w:numId w:val="1006"/>
        </w:numPr>
      </w:pPr>
      <w:r>
        <w:t xml:space="preserve">Services and controls</w:t>
      </w:r>
    </w:p>
    <w:p>
      <w:pPr>
        <w:pStyle w:val="Compact"/>
        <w:numPr>
          <w:ilvl w:val="1"/>
          <w:numId w:val="1007"/>
        </w:numPr>
      </w:pPr>
      <w:r>
        <w:t xml:space="preserve">Optional user services: snapshot current configuration profiles (work/home) for reuse; default profiles and custom profiles</w:t>
      </w:r>
    </w:p>
    <w:p>
      <w:pPr>
        <w:pStyle w:val="Compact"/>
        <w:numPr>
          <w:ilvl w:val="1"/>
          <w:numId w:val="1007"/>
        </w:numPr>
      </w:pPr>
      <w:r>
        <w:t xml:space="preserve">Transparent recommendations, toggles for personalization; opt-in/out management; permission prompts on foreign devices</w:t>
      </w:r>
    </w:p>
    <w:p>
      <w:pPr>
        <w:numPr>
          <w:ilvl w:val="0"/>
          <w:numId w:val="1007"/>
        </w:numPr>
      </w:pPr>
      <w:r>
        <w:t xml:space="preserve">Logging and analytics</w:t>
      </w:r>
    </w:p>
    <w:p>
      <w:pPr>
        <w:pStyle w:val="Compact"/>
        <w:numPr>
          <w:ilvl w:val="1"/>
          <w:numId w:val="1008"/>
        </w:numPr>
      </w:pPr>
      <w:r>
        <w:t xml:space="preserve">Eventing for configuration, usage, and telemetry to support AI models, restoration accuracy, arbitration decisions, and performance monitoring</w:t>
      </w:r>
    </w:p>
    <w:bookmarkEnd w:id="22"/>
    <w:bookmarkStart w:id="23" w:name="nonfunctional-requirements"/>
    <w:p>
      <w:pPr>
        <w:pStyle w:val="21"/>
      </w:pPr>
      <w:r>
        <w:t xml:space="preserve">Nonfunctional Requirements</w:t>
      </w:r>
    </w:p>
    <w:p>
      <w:pPr>
        <w:pStyle w:val="Compact"/>
        <w:numPr>
          <w:ilvl w:val="0"/>
          <w:numId w:val="1009"/>
        </w:numPr>
      </w:pPr>
      <w:r>
        <w:t xml:space="preserve">Privacy and data governance: explicit consent; transparency; cross-domain data linkage controls; data minimization; opt-in/out; deletion/access rights</w:t>
      </w:r>
    </w:p>
    <w:p>
      <w:pPr>
        <w:pStyle w:val="Compact"/>
        <w:numPr>
          <w:ilvl w:val="0"/>
          <w:numId w:val="1009"/>
        </w:numPr>
      </w:pPr>
      <w:r>
        <w:t xml:space="preserve">Reliability: deterministic orchestration; high success rate of capture/restore; fault tolerance; prevent app conflicts</w:t>
      </w:r>
    </w:p>
    <w:p>
      <w:pPr>
        <w:pStyle w:val="Compact"/>
        <w:numPr>
          <w:ilvl w:val="0"/>
          <w:numId w:val="1009"/>
        </w:numPr>
      </w:pPr>
      <w:r>
        <w:t xml:space="preserve">Usability: minimize setup time; “feels like home” on first boot; early usability via app stubs; clear guided flows and recommendations</w:t>
      </w:r>
    </w:p>
    <w:p>
      <w:pPr>
        <w:pStyle w:val="Compact"/>
        <w:numPr>
          <w:ilvl w:val="0"/>
          <w:numId w:val="1009"/>
        </w:numPr>
      </w:pPr>
      <w:r>
        <w:t xml:space="preserve">Scalability: support millions of devices and high-volume telemetry; retail and self-service channels</w:t>
      </w:r>
    </w:p>
    <w:p>
      <w:pPr>
        <w:pStyle w:val="Compact"/>
        <w:numPr>
          <w:ilvl w:val="0"/>
          <w:numId w:val="1009"/>
        </w:numPr>
      </w:pPr>
      <w:r>
        <w:t xml:space="preserve">Maintainability: modular middleware; versioned central profile store; schema-driven updates; per-OEM adapters</w:t>
      </w:r>
    </w:p>
    <w:p>
      <w:pPr>
        <w:pStyle w:val="Compact"/>
        <w:numPr>
          <w:ilvl w:val="0"/>
          <w:numId w:val="1009"/>
        </w:numPr>
      </w:pPr>
      <w:r>
        <w:t xml:space="preserve">Interoperability: operate across Android variants, global SKUs, non-carrier devices during temporary takeover; coexist with OEM restore tools and retail systems</w:t>
      </w:r>
    </w:p>
    <w:p>
      <w:pPr>
        <w:pStyle w:val="Compact"/>
        <w:numPr>
          <w:ilvl w:val="0"/>
          <w:numId w:val="1009"/>
        </w:numPr>
      </w:pPr>
      <w:r>
        <w:t xml:space="preserve">Portability: cross-form-factor and cross-carrier persona switches where feasible</w:t>
      </w:r>
    </w:p>
    <w:p>
      <w:pPr>
        <w:pStyle w:val="Compact"/>
        <w:numPr>
          <w:ilvl w:val="0"/>
          <w:numId w:val="1009"/>
        </w:numPr>
      </w:pPr>
      <w:r>
        <w:t xml:space="preserve">Observability: metrics, logging for recommendation accuracy, acceptance rates, placement efficacy, arbitration impacts</w:t>
      </w:r>
    </w:p>
    <w:p>
      <w:pPr>
        <w:pStyle w:val="Compact"/>
        <w:numPr>
          <w:ilvl w:val="0"/>
          <w:numId w:val="1009"/>
        </w:numPr>
      </w:pPr>
      <w:r>
        <w:t xml:space="preserve">Extensibility: add new telemetry/data sources, settings categories, recommendation types, device categories</w:t>
      </w:r>
    </w:p>
    <w:bookmarkEnd w:id="23"/>
    <w:bookmarkStart w:id="24" w:name="data-requirements"/>
    <w:p>
      <w:pPr>
        <w:pStyle w:val="21"/>
      </w:pPr>
      <w:r>
        <w:t xml:space="preserve">Data Requirements</w:t>
      </w:r>
    </w:p>
    <w:p>
      <w:pPr>
        <w:numPr>
          <w:ilvl w:val="0"/>
          <w:numId w:val="1010"/>
        </w:numPr>
      </w:pPr>
      <w:r>
        <w:t xml:space="preserve">Sources</w:t>
      </w:r>
    </w:p>
    <w:p>
      <w:pPr>
        <w:pStyle w:val="Compact"/>
        <w:numPr>
          <w:ilvl w:val="1"/>
          <w:numId w:val="1011"/>
        </w:numPr>
      </w:pPr>
      <w:r>
        <w:t xml:space="preserve">Carrier tools layer telemetry (deep settings beyond standard app data)</w:t>
      </w:r>
    </w:p>
    <w:p>
      <w:pPr>
        <w:pStyle w:val="Compact"/>
        <w:numPr>
          <w:ilvl w:val="1"/>
          <w:numId w:val="1011"/>
        </w:numPr>
      </w:pPr>
      <w:r>
        <w:t xml:space="preserve">Billing system data</w:t>
      </w:r>
    </w:p>
    <w:p>
      <w:pPr>
        <w:pStyle w:val="Compact"/>
        <w:numPr>
          <w:ilvl w:val="1"/>
          <w:numId w:val="1011"/>
        </w:numPr>
      </w:pPr>
      <w:r>
        <w:t xml:space="preserve">Advertising intelligence (T-Ads)</w:t>
      </w:r>
    </w:p>
    <w:p>
      <w:pPr>
        <w:pStyle w:val="Compact"/>
        <w:numPr>
          <w:ilvl w:val="1"/>
          <w:numId w:val="1011"/>
        </w:numPr>
      </w:pPr>
      <w:r>
        <w:t xml:space="preserve">Historical device/app usage and behavior data</w:t>
      </w:r>
    </w:p>
    <w:p>
      <w:pPr>
        <w:pStyle w:val="Compact"/>
        <w:numPr>
          <w:ilvl w:val="1"/>
          <w:numId w:val="1011"/>
        </w:numPr>
      </w:pPr>
      <w:r>
        <w:t xml:space="preserve">OEM-provided metadata (per T-Mobile specifications)</w:t>
      </w:r>
    </w:p>
    <w:p>
      <w:pPr>
        <w:pStyle w:val="Compact"/>
        <w:numPr>
          <w:ilvl w:val="1"/>
          <w:numId w:val="1011"/>
        </w:numPr>
      </w:pPr>
      <w:r>
        <w:t xml:space="preserve">In-app telemetry and attribution markers (partner feeds; limited availability)</w:t>
      </w:r>
    </w:p>
    <w:p>
      <w:pPr>
        <w:pStyle w:val="Compact"/>
        <w:numPr>
          <w:ilvl w:val="1"/>
          <w:numId w:val="1011"/>
        </w:numPr>
      </w:pPr>
      <w:r>
        <w:t xml:space="preserve">Network usage and migration state telemetry</w:t>
      </w:r>
    </w:p>
    <w:p>
      <w:pPr>
        <w:numPr>
          <w:ilvl w:val="0"/>
          <w:numId w:val="1011"/>
        </w:numPr>
      </w:pPr>
      <w:r>
        <w:t xml:space="preserve">Data elements</w:t>
      </w:r>
    </w:p>
    <w:p>
      <w:pPr>
        <w:pStyle w:val="Compact"/>
        <w:numPr>
          <w:ilvl w:val="1"/>
          <w:numId w:val="1012"/>
        </w:numPr>
      </w:pPr>
      <w:r>
        <w:t xml:space="preserve">Device identifiers and descriptors (e.g., IMEI, make/model, grid dimensions)</w:t>
      </w:r>
    </w:p>
    <w:p>
      <w:pPr>
        <w:pStyle w:val="Compact"/>
        <w:numPr>
          <w:ilvl w:val="1"/>
          <w:numId w:val="1012"/>
        </w:numPr>
      </w:pPr>
      <w:r>
        <w:t xml:space="preserve">Settings: font size, volume, brightness, color/theme, contrast, Wi-Fi, 5G, opt-out/ad preferences</w:t>
      </w:r>
    </w:p>
    <w:p>
      <w:pPr>
        <w:pStyle w:val="Compact"/>
        <w:numPr>
          <w:ilvl w:val="1"/>
          <w:numId w:val="1012"/>
        </w:numPr>
      </w:pPr>
      <w:r>
        <w:t xml:space="preserve">UI layout metadata: home screen pages, folders, app positions, widgets adjacency, spatial coordinates</w:t>
      </w:r>
    </w:p>
    <w:p>
      <w:pPr>
        <w:pStyle w:val="Compact"/>
        <w:numPr>
          <w:ilvl w:val="1"/>
          <w:numId w:val="1012"/>
        </w:numPr>
      </w:pPr>
      <w:r>
        <w:t xml:space="preserve">App telemetry: identifiers, launch counts, session durations, screen time, co-usage patterns and switching intervals</w:t>
      </w:r>
    </w:p>
    <w:p>
      <w:pPr>
        <w:pStyle w:val="Compact"/>
        <w:numPr>
          <w:ilvl w:val="1"/>
          <w:numId w:val="1012"/>
        </w:numPr>
      </w:pPr>
      <w:r>
        <w:t xml:space="preserve">Content metadata for lock screens: expiry timestamps, interaction states (seen/touched), cache integrity</w:t>
      </w:r>
    </w:p>
    <w:p>
      <w:pPr>
        <w:pStyle w:val="Compact"/>
        <w:numPr>
          <w:ilvl w:val="1"/>
          <w:numId w:val="1012"/>
        </w:numPr>
      </w:pPr>
      <w:r>
        <w:t xml:space="preserve">Backup targets: texts, photos, other personal content where permitted</w:t>
      </w:r>
    </w:p>
    <w:p>
      <w:pPr>
        <w:numPr>
          <w:ilvl w:val="0"/>
          <w:numId w:val="1012"/>
        </w:numPr>
      </w:pPr>
      <w:r>
        <w:t xml:space="preserve">Formats and storage</w:t>
      </w:r>
    </w:p>
    <w:p>
      <w:pPr>
        <w:pStyle w:val="Compact"/>
        <w:numPr>
          <w:ilvl w:val="1"/>
          <w:numId w:val="1013"/>
        </w:numPr>
      </w:pPr>
      <w:r>
        <w:t xml:space="preserve">Structured events (JSON), key-value settings snapshots, hierarchical UI layout graphs</w:t>
      </w:r>
    </w:p>
    <w:p>
      <w:pPr>
        <w:pStyle w:val="Compact"/>
        <w:numPr>
          <w:ilvl w:val="1"/>
          <w:numId w:val="1013"/>
        </w:numPr>
      </w:pPr>
      <w:r>
        <w:t xml:space="preserve">Event telemetry streams and logs with timestamps</w:t>
      </w:r>
    </w:p>
    <w:p>
      <w:pPr>
        <w:pStyle w:val="Compact"/>
        <w:numPr>
          <w:ilvl w:val="1"/>
          <w:numId w:val="1013"/>
        </w:numPr>
      </w:pPr>
      <w:r>
        <w:t xml:space="preserve">Centralized, encrypted, versioned profile repository keyed to user/device identifiers; retention periods and TTLs for temporary contexts</w:t>
      </w:r>
    </w:p>
    <w:p>
      <w:pPr>
        <w:numPr>
          <w:ilvl w:val="0"/>
          <w:numId w:val="1013"/>
        </w:numPr>
      </w:pPr>
      <w:r>
        <w:t xml:space="preserve">Data linkage</w:t>
      </w:r>
    </w:p>
    <w:p>
      <w:pPr>
        <w:pStyle w:val="Compact"/>
        <w:numPr>
          <w:ilvl w:val="1"/>
          <w:numId w:val="1014"/>
        </w:numPr>
      </w:pPr>
      <w:r>
        <w:t xml:space="preserve">Identity resolution across telemetry, billing, and advertising with strict governance; role-based access; audit trails</w:t>
      </w:r>
    </w:p>
    <w:bookmarkEnd w:id="24"/>
    <w:bookmarkStart w:id="25" w:name="user-interface-requirements"/>
    <w:p>
      <w:pPr>
        <w:pStyle w:val="21"/>
      </w:pPr>
      <w:r>
        <w:t xml:space="preserve">User Interface Requirements</w:t>
      </w:r>
    </w:p>
    <w:p>
      <w:pPr>
        <w:numPr>
          <w:ilvl w:val="0"/>
          <w:numId w:val="1015"/>
        </w:numPr>
      </w:pPr>
      <w:r>
        <w:t xml:space="preserve">OOBE setup UX</w:t>
      </w:r>
    </w:p>
    <w:p>
      <w:pPr>
        <w:pStyle w:val="Compact"/>
        <w:numPr>
          <w:ilvl w:val="1"/>
          <w:numId w:val="1016"/>
        </w:numPr>
      </w:pPr>
      <w:r>
        <w:t xml:space="preserve">Inverted experience: setup returns “back to T-Mobile first” with intelligent pre-configuration</w:t>
      </w:r>
    </w:p>
    <w:p>
      <w:pPr>
        <w:pStyle w:val="Compact"/>
        <w:numPr>
          <w:ilvl w:val="1"/>
          <w:numId w:val="1016"/>
        </w:numPr>
      </w:pPr>
      <w:r>
        <w:t xml:space="preserve">Path selection UI: New vs. Upgrade flows; progress indicators for staged loads</w:t>
      </w:r>
    </w:p>
    <w:p>
      <w:pPr>
        <w:pStyle w:val="Compact"/>
        <w:numPr>
          <w:ilvl w:val="1"/>
          <w:numId w:val="1016"/>
        </w:numPr>
      </w:pPr>
      <w:r>
        <w:t xml:space="preserve">Transparent recommendations and toggles (remove unused apps; apply known preferences); profile preview of restored settings/app grid</w:t>
      </w:r>
    </w:p>
    <w:p>
      <w:pPr>
        <w:numPr>
          <w:ilvl w:val="0"/>
          <w:numId w:val="1016"/>
        </w:numPr>
      </w:pPr>
      <w:r>
        <w:t xml:space="preserve">Profile management</w:t>
      </w:r>
    </w:p>
    <w:p>
      <w:pPr>
        <w:pStyle w:val="Compact"/>
        <w:numPr>
          <w:ilvl w:val="1"/>
          <w:numId w:val="1017"/>
        </w:numPr>
      </w:pPr>
      <w:r>
        <w:t xml:space="preserve">Create, view, and apply configuration profiles (work/home); default vs. custom profiles; opt-in/out controls</w:t>
      </w:r>
    </w:p>
    <w:p>
      <w:pPr>
        <w:numPr>
          <w:ilvl w:val="0"/>
          <w:numId w:val="1017"/>
        </w:numPr>
      </w:pPr>
      <w:r>
        <w:t xml:space="preserve">Recommendation and placement UX</w:t>
      </w:r>
    </w:p>
    <w:p>
      <w:pPr>
        <w:pStyle w:val="Compact"/>
        <w:numPr>
          <w:ilvl w:val="1"/>
          <w:numId w:val="1018"/>
        </w:numPr>
      </w:pPr>
      <w:r>
        <w:t xml:space="preserve">Context-aware suggestions; folder creation prompts; visual preview of placements; one-tap accept, undo, and quick edit</w:t>
      </w:r>
    </w:p>
    <w:p>
      <w:pPr>
        <w:numPr>
          <w:ilvl w:val="0"/>
          <w:numId w:val="1018"/>
        </w:numPr>
      </w:pPr>
      <w:r>
        <w:t xml:space="preserve">Retail tools UI</w:t>
      </w:r>
    </w:p>
    <w:p>
      <w:pPr>
        <w:pStyle w:val="Compact"/>
        <w:numPr>
          <w:ilvl w:val="1"/>
          <w:numId w:val="1019"/>
        </w:numPr>
      </w:pPr>
      <w:r>
        <w:t xml:space="preserve">Guided flow for temporary takeover, backup, telemetry capture, and profile push; conflict resolution prompts when OEM restores are active</w:t>
      </w:r>
    </w:p>
    <w:p>
      <w:pPr>
        <w:numPr>
          <w:ilvl w:val="0"/>
          <w:numId w:val="1019"/>
        </w:numPr>
      </w:pPr>
      <w:r>
        <w:t xml:space="preserve">Accessibility</w:t>
      </w:r>
    </w:p>
    <w:p>
      <w:pPr>
        <w:pStyle w:val="Compact"/>
        <w:numPr>
          <w:ilvl w:val="1"/>
          <w:numId w:val="1020"/>
        </w:numPr>
      </w:pPr>
      <w:r>
        <w:t xml:space="preserve">Honor accessibility settings (large fonts, high contrast) during and after migration; clear language and large touch targets</w:t>
      </w:r>
    </w:p>
    <w:bookmarkEnd w:id="25"/>
    <w:bookmarkStart w:id="26" w:name="performance-requirements"/>
    <w:p>
      <w:pPr>
        <w:pStyle w:val="21"/>
      </w:pPr>
      <w:r>
        <w:t xml:space="preserve">Performance Requirements</w:t>
      </w:r>
    </w:p>
    <w:p>
      <w:pPr>
        <w:numPr>
          <w:ilvl w:val="0"/>
          <w:numId w:val="1021"/>
        </w:numPr>
      </w:pPr>
      <w:r>
        <w:t xml:space="preserve">Setup and migration</w:t>
      </w:r>
    </w:p>
    <w:p>
      <w:pPr>
        <w:pStyle w:val="Compact"/>
        <w:numPr>
          <w:ilvl w:val="1"/>
          <w:numId w:val="1022"/>
        </w:numPr>
      </w:pPr>
      <w:r>
        <w:t xml:space="preserve">Upgrade path: majority configuration applied within initial setup session; target under 15 minutes; heavy data completes in background</w:t>
      </w:r>
    </w:p>
    <w:p>
      <w:pPr>
        <w:pStyle w:val="Compact"/>
        <w:numPr>
          <w:ilvl w:val="1"/>
          <w:numId w:val="1022"/>
        </w:numPr>
      </w:pPr>
      <w:r>
        <w:t xml:space="preserve">OOB path: intelligent defaults with minimal delay; time-to-first-use via prioritized app stubs under 5 minutes</w:t>
      </w:r>
    </w:p>
    <w:p>
      <w:pPr>
        <w:numPr>
          <w:ilvl w:val="0"/>
          <w:numId w:val="1022"/>
        </w:numPr>
      </w:pPr>
      <w:r>
        <w:t xml:space="preserve">Personalization latency</w:t>
      </w:r>
    </w:p>
    <w:p>
      <w:pPr>
        <w:pStyle w:val="Compact"/>
        <w:numPr>
          <w:ilvl w:val="1"/>
          <w:numId w:val="1023"/>
        </w:numPr>
      </w:pPr>
      <w:r>
        <w:t xml:space="preserve">Initial recommendations generated within 2–5 seconds after consent during OOBE</w:t>
      </w:r>
    </w:p>
    <w:p>
      <w:pPr>
        <w:numPr>
          <w:ilvl w:val="0"/>
          <w:numId w:val="1023"/>
        </w:numPr>
      </w:pPr>
      <w:r>
        <w:t xml:space="preserve">Arbitration and lock screen refresh</w:t>
      </w:r>
    </w:p>
    <w:p>
      <w:pPr>
        <w:pStyle w:val="Compact"/>
        <w:numPr>
          <w:ilvl w:val="1"/>
          <w:numId w:val="1024"/>
        </w:numPr>
      </w:pPr>
      <w:r>
        <w:t xml:space="preserve">Content refresh decisions within 100–300 ms of lock/unlock events; debounce rapid cycles; CPU impact &lt;5% sustained; battery impact bounded (e.g., % per hour under high interaction; validate)</w:t>
      </w:r>
    </w:p>
    <w:p>
      <w:pPr>
        <w:numPr>
          <w:ilvl w:val="0"/>
          <w:numId w:val="1024"/>
        </w:numPr>
      </w:pPr>
      <w:r>
        <w:t xml:space="preserve">Throughput and accuracy</w:t>
      </w:r>
    </w:p>
    <w:p>
      <w:pPr>
        <w:pStyle w:val="Compact"/>
        <w:numPr>
          <w:ilvl w:val="1"/>
          <w:numId w:val="1025"/>
        </w:numPr>
      </w:pPr>
      <w:r>
        <w:t xml:space="preserve">Carrier-scale processing for telemetry and persona application; 99.9% success rate for placement operations; &gt;95% correct application of captured settings</w:t>
      </w:r>
    </w:p>
    <w:p>
      <w:pPr>
        <w:numPr>
          <w:ilvl w:val="0"/>
          <w:numId w:val="1025"/>
        </w:numPr>
      </w:pPr>
      <w:r>
        <w:t xml:space="preserve">Resilience</w:t>
      </w:r>
    </w:p>
    <w:p>
      <w:pPr>
        <w:pStyle w:val="Compact"/>
        <w:numPr>
          <w:ilvl w:val="1"/>
          <w:numId w:val="1026"/>
        </w:numPr>
      </w:pPr>
      <w:r>
        <w:t xml:space="preserve">Graceful fallback when data sources unavailable; default to OEM baseline without errors</w:t>
      </w:r>
    </w:p>
    <w:bookmarkEnd w:id="26"/>
    <w:bookmarkStart w:id="27" w:name="security-requirements"/>
    <w:p>
      <w:pPr>
        <w:pStyle w:val="21"/>
      </w:pPr>
      <w:r>
        <w:t xml:space="preserve">Security Requirements</w:t>
      </w:r>
    </w:p>
    <w:p>
      <w:pPr>
        <w:numPr>
          <w:ilvl w:val="0"/>
          <w:numId w:val="1027"/>
        </w:numPr>
      </w:pPr>
      <w:r>
        <w:t xml:space="preserve">Data protection</w:t>
      </w:r>
    </w:p>
    <w:p>
      <w:pPr>
        <w:pStyle w:val="Compact"/>
        <w:numPr>
          <w:ilvl w:val="1"/>
          <w:numId w:val="1028"/>
        </w:numPr>
      </w:pPr>
      <w:r>
        <w:t xml:space="preserve">Encrypt persona snapshots and profile data at rest (AES-256) and in transit (TLS 1.2+); secure key management; OAuth2/JWT for APIs; key rotation</w:t>
      </w:r>
    </w:p>
    <w:p>
      <w:pPr>
        <w:numPr>
          <w:ilvl w:val="0"/>
          <w:numId w:val="1028"/>
        </w:numPr>
      </w:pPr>
      <w:r>
        <w:t xml:space="preserve">Access control and consent</w:t>
      </w:r>
    </w:p>
    <w:p>
      <w:pPr>
        <w:pStyle w:val="Compact"/>
        <w:numPr>
          <w:ilvl w:val="1"/>
          <w:numId w:val="1029"/>
        </w:numPr>
      </w:pPr>
      <w:r>
        <w:t xml:space="preserve">Role-based access across carrier tools, billing, ad systems; explicit opt-in for cross-domain linkage; least-privilege permissions on foreign devices</w:t>
      </w:r>
    </w:p>
    <w:p>
      <w:pPr>
        <w:numPr>
          <w:ilvl w:val="0"/>
          <w:numId w:val="1029"/>
        </w:numPr>
      </w:pPr>
      <w:r>
        <w:t xml:space="preserve">Device controls and audit</w:t>
      </w:r>
    </w:p>
    <w:p>
      <w:pPr>
        <w:pStyle w:val="Compact"/>
        <w:numPr>
          <w:ilvl w:val="1"/>
          <w:numId w:val="1030"/>
        </w:numPr>
      </w:pPr>
      <w:r>
        <w:t xml:space="preserve">Secure application of settings via carrier tools; authenticated inter-app arbitration messaging; audit trails for migration and arbitration actions</w:t>
      </w:r>
    </w:p>
    <w:p>
      <w:pPr>
        <w:numPr>
          <w:ilvl w:val="0"/>
          <w:numId w:val="1030"/>
        </w:numPr>
      </w:pPr>
      <w:r>
        <w:t xml:space="preserve">Privacy</w:t>
      </w:r>
    </w:p>
    <w:p>
      <w:pPr>
        <w:pStyle w:val="Compact"/>
        <w:numPr>
          <w:ilvl w:val="1"/>
          <w:numId w:val="1031"/>
        </w:numPr>
      </w:pPr>
      <w:r>
        <w:t xml:space="preserve">Differential privacy or aggregation where feasible; opt-out and data deletion workflows; minimize PII storage</w:t>
      </w:r>
    </w:p>
    <w:bookmarkEnd w:id="27"/>
    <w:bookmarkStart w:id="28" w:name="regulatory-and-compliance-requirements"/>
    <w:p>
      <w:pPr>
        <w:pStyle w:val="21"/>
      </w:pPr>
      <w:r>
        <w:t xml:space="preserve">Regulatory and Compliance Requirements</w:t>
      </w:r>
    </w:p>
    <w:p>
      <w:pPr>
        <w:numPr>
          <w:ilvl w:val="0"/>
          <w:numId w:val="1032"/>
        </w:numPr>
      </w:pPr>
      <w:r>
        <w:t xml:space="preserve">Privacy laws and consumer protection</w:t>
      </w:r>
    </w:p>
    <w:p>
      <w:pPr>
        <w:pStyle w:val="Compact"/>
        <w:numPr>
          <w:ilvl w:val="1"/>
          <w:numId w:val="1033"/>
        </w:numPr>
      </w:pPr>
      <w:r>
        <w:t xml:space="preserve">Comply with US federal/state privacy regulations (e.g., CCPA/CPRA); GDPR if applicable; clear consent; data access/deletion/portability; avoid dark patterns</w:t>
      </w:r>
    </w:p>
    <w:p>
      <w:pPr>
        <w:numPr>
          <w:ilvl w:val="0"/>
          <w:numId w:val="1033"/>
        </w:numPr>
      </w:pPr>
      <w:r>
        <w:t xml:space="preserve">Telecom regulations</w:t>
      </w:r>
    </w:p>
    <w:p>
      <w:pPr>
        <w:pStyle w:val="Compact"/>
        <w:numPr>
          <w:ilvl w:val="1"/>
          <w:numId w:val="1034"/>
        </w:numPr>
      </w:pPr>
      <w:r>
        <w:t xml:space="preserve">FCC and platform policies for carrier tools operations; CPNI considerations; OEM constraints post day-one</w:t>
      </w:r>
    </w:p>
    <w:p>
      <w:pPr>
        <w:numPr>
          <w:ilvl w:val="0"/>
          <w:numId w:val="1034"/>
        </w:numPr>
      </w:pPr>
      <w:r>
        <w:t xml:space="preserve">Advertising standards</w:t>
      </w:r>
    </w:p>
    <w:p>
      <w:pPr>
        <w:pStyle w:val="Compact"/>
        <w:numPr>
          <w:ilvl w:val="1"/>
          <w:numId w:val="1035"/>
        </w:numPr>
      </w:pPr>
      <w:r>
        <w:t xml:space="preserve">Align ad data usage with industry self-regulatory principles; clear consent for personalization; frequency caps and disclosures</w:t>
      </w:r>
    </w:p>
    <w:p>
      <w:pPr>
        <w:numPr>
          <w:ilvl w:val="0"/>
          <w:numId w:val="1035"/>
        </w:numPr>
      </w:pPr>
      <w:r>
        <w:t xml:space="preserve">Platform policies and accessibility</w:t>
      </w:r>
    </w:p>
    <w:p>
      <w:pPr>
        <w:pStyle w:val="Compact"/>
        <w:numPr>
          <w:ilvl w:val="1"/>
          <w:numId w:val="1036"/>
        </w:numPr>
      </w:pPr>
      <w:r>
        <w:t xml:space="preserve">Google Play and Apple App Store policies for telemetry and background installs; WCAG 2.1 AA compliance where applicable</w:t>
      </w:r>
    </w:p>
    <w:p>
      <w:pPr>
        <w:numPr>
          <w:ilvl w:val="0"/>
          <w:numId w:val="1036"/>
        </w:numPr>
      </w:pPr>
      <w:r>
        <w:t xml:space="preserve">Retail data handling</w:t>
      </w:r>
    </w:p>
    <w:p>
      <w:pPr>
        <w:pStyle w:val="Compact"/>
        <w:numPr>
          <w:ilvl w:val="1"/>
          <w:numId w:val="1037"/>
        </w:numPr>
      </w:pPr>
      <w:r>
        <w:t xml:space="preserve">Compliant handling of personal content backups (texts/photos) within retail workflows</w:t>
      </w:r>
    </w:p>
    <w:bookmarkEnd w:id="28"/>
    <w:bookmarkStart w:id="31" w:name="assumptions-and-constraints"/>
    <w:p>
      <w:pPr>
        <w:pStyle w:val="1"/>
      </w:pPr>
      <w:r>
        <w:t xml:space="preserve">Assumptions and Constraints</w:t>
      </w:r>
    </w:p>
    <w:bookmarkStart w:id="29" w:name="assumptions"/>
    <w:p>
      <w:pPr>
        <w:pStyle w:val="21"/>
      </w:pPr>
      <w:r>
        <w:t xml:space="preserve">Assumptions</w:t>
      </w:r>
    </w:p>
    <w:p>
      <w:pPr>
        <w:pStyle w:val="Compact"/>
        <w:numPr>
          <w:ilvl w:val="0"/>
          <w:numId w:val="1038"/>
        </w:numPr>
      </w:pPr>
      <w:r>
        <w:t xml:space="preserve">T-Mobile has legitimate authority and pre-grants to operate at the carrier tools layer after day one</w:t>
      </w:r>
    </w:p>
    <w:p>
      <w:pPr>
        <w:pStyle w:val="Compact"/>
        <w:numPr>
          <w:ilvl w:val="0"/>
          <w:numId w:val="1038"/>
        </w:numPr>
      </w:pPr>
      <w:r>
        <w:t xml:space="preserve">Users will consent to permissions on foreign devices for telemetry/profile capture and cross-domain data linkage</w:t>
      </w:r>
    </w:p>
    <w:p>
      <w:pPr>
        <w:pStyle w:val="Compact"/>
        <w:numPr>
          <w:ilvl w:val="0"/>
          <w:numId w:val="1038"/>
        </w:numPr>
      </w:pPr>
      <w:r>
        <w:t xml:space="preserve">OEMs adhere to T-Mobile specifications enabling deep settings capture and application; expose APIs for TV/tablet profile migration</w:t>
      </w:r>
    </w:p>
    <w:p>
      <w:pPr>
        <w:pStyle w:val="Compact"/>
        <w:numPr>
          <w:ilvl w:val="0"/>
          <w:numId w:val="1038"/>
        </w:numPr>
      </w:pPr>
      <w:r>
        <w:t xml:space="preserve">AI models can leverage multi-source data for improved recommendations and setup; “App Unity” or equivalent supports prioritized installs</w:t>
      </w:r>
    </w:p>
    <w:p>
      <w:pPr>
        <w:pStyle w:val="Compact"/>
        <w:numPr>
          <w:ilvl w:val="0"/>
          <w:numId w:val="1038"/>
        </w:numPr>
      </w:pPr>
      <w:r>
        <w:t xml:space="preserve">Staged loading and concurrent coexistence with OEM tools are technically feasible within platform constraints</w:t>
      </w:r>
    </w:p>
    <w:p>
      <w:pPr>
        <w:pStyle w:val="Compact"/>
        <w:numPr>
          <w:ilvl w:val="0"/>
          <w:numId w:val="1038"/>
        </w:numPr>
      </w:pPr>
      <w:r>
        <w:t xml:space="preserve">Retail environments can perform SIM swaps and temporary carrier takeover steps</w:t>
      </w:r>
    </w:p>
    <w:bookmarkEnd w:id="29"/>
    <w:bookmarkStart w:id="30" w:name="constraints"/>
    <w:p>
      <w:pPr>
        <w:pStyle w:val="21"/>
      </w:pPr>
      <w:r>
        <w:t xml:space="preserve">Constraints</w:t>
      </w:r>
    </w:p>
    <w:p>
      <w:pPr>
        <w:pStyle w:val="Compact"/>
        <w:numPr>
          <w:ilvl w:val="0"/>
          <w:numId w:val="1039"/>
        </w:numPr>
      </w:pPr>
      <w:r>
        <w:t xml:space="preserve">Platform limitations: iOS/Android restrictions on settings capture/app placement; inter-app communication may be limited; app store policies restrict background activity</w:t>
      </w:r>
    </w:p>
    <w:p>
      <w:pPr>
        <w:pStyle w:val="Compact"/>
        <w:numPr>
          <w:ilvl w:val="0"/>
          <w:numId w:val="1039"/>
        </w:numPr>
      </w:pPr>
      <w:r>
        <w:t xml:space="preserve">OEM variability: differences across vendors and global SKUs affect restoration fidelity and takeover capabilities; launcher diversity complicates layout parsing</w:t>
      </w:r>
    </w:p>
    <w:p>
      <w:pPr>
        <w:pStyle w:val="Compact"/>
        <w:numPr>
          <w:ilvl w:val="0"/>
          <w:numId w:val="1039"/>
        </w:numPr>
      </w:pPr>
      <w:r>
        <w:t xml:space="preserve">Privacy/consent: declined consent reduces data available for AI and personalization; strict privacy may limit contextual inference granularity</w:t>
      </w:r>
    </w:p>
    <w:p>
      <w:pPr>
        <w:pStyle w:val="Compact"/>
        <w:numPr>
          <w:ilvl w:val="0"/>
          <w:numId w:val="1039"/>
        </w:numPr>
      </w:pPr>
      <w:r>
        <w:t xml:space="preserve">Legal/compliance: combining billing, telemetry, and ad data requires heightened governance; CPNI and platform policies apply</w:t>
      </w:r>
    </w:p>
    <w:p>
      <w:pPr>
        <w:pStyle w:val="Compact"/>
        <w:numPr>
          <w:ilvl w:val="0"/>
          <w:numId w:val="1039"/>
        </w:numPr>
      </w:pPr>
      <w:r>
        <w:t xml:space="preserve">Network/data constraints: large data volumes and variable conditions can limit migration performance; backup/restore of texts/photos requires policy alignment</w:t>
      </w:r>
    </w:p>
    <w:p>
      <w:pPr>
        <w:pStyle w:val="Compact"/>
        <w:numPr>
          <w:ilvl w:val="0"/>
          <w:numId w:val="1039"/>
        </w:numPr>
      </w:pPr>
      <w:r>
        <w:t xml:space="preserve">Timeframe: development underway targeting fall launch; accelerated drafting timeline; conversions due imminently</w:t>
      </w:r>
    </w:p>
    <w:p>
      <w:pPr>
        <w:pStyle w:val="Compact"/>
        <w:numPr>
          <w:ilvl w:val="0"/>
          <w:numId w:val="1039"/>
        </w:numPr>
      </w:pPr>
      <w:r>
        <w:t xml:space="preserve">Data quality: new customers have zero telemetry; color/folder semantics may be idiosyncratic; partner attribution markers limited</w:t>
      </w:r>
    </w:p>
    <w:bookmarkEnd w:id="30"/>
    <w:bookmarkEnd w:id="31"/>
    <w:bookmarkStart w:id="32" w:name="definitions"/>
    <w:p>
      <w:pPr>
        <w:pStyle w:val="1"/>
      </w:pPr>
      <w:r>
        <w:t xml:space="preserve">Definitions</w:t>
      </w:r>
    </w:p>
    <w:p>
      <w:pPr>
        <w:pStyle w:val="Compact"/>
        <w:numPr>
          <w:ilvl w:val="0"/>
          <w:numId w:val="1040"/>
        </w:numPr>
      </w:pPr>
      <w:r>
        <w:t xml:space="preserve">OOB/OOBE/UBI: Out-of-Box Experience; initial device setup flow</w:t>
      </w:r>
    </w:p>
    <w:p>
      <w:pPr>
        <w:pStyle w:val="Compact"/>
        <w:numPr>
          <w:ilvl w:val="0"/>
          <w:numId w:val="1040"/>
        </w:numPr>
      </w:pPr>
      <w:r>
        <w:t xml:space="preserve">In life: Post-day-one usage period through end of customer tenure</w:t>
      </w:r>
    </w:p>
    <w:p>
      <w:pPr>
        <w:pStyle w:val="Compact"/>
        <w:numPr>
          <w:ilvl w:val="0"/>
          <w:numId w:val="1040"/>
        </w:numPr>
      </w:pPr>
      <w:r>
        <w:t xml:space="preserve">Carrier tools layer: Privileged software layer allowing deep device configuration access beyond typical third-party apps</w:t>
      </w:r>
    </w:p>
    <w:p>
      <w:pPr>
        <w:pStyle w:val="Compact"/>
        <w:numPr>
          <w:ilvl w:val="0"/>
          <w:numId w:val="1040"/>
        </w:numPr>
      </w:pPr>
      <w:r>
        <w:t xml:space="preserve">Persona bits/profile bits: Subcategories of recorded configuration and behavior metadata used to build a user persona</w:t>
      </w:r>
    </w:p>
    <w:p>
      <w:pPr>
        <w:pStyle w:val="Compact"/>
        <w:numPr>
          <w:ilvl w:val="0"/>
          <w:numId w:val="1040"/>
        </w:numPr>
      </w:pPr>
      <w:r>
        <w:t xml:space="preserve">Media layer product: T-Mobile middleware for configuration capture/restoration and AI personalization</w:t>
      </w:r>
    </w:p>
    <w:p>
      <w:pPr>
        <w:pStyle w:val="Compact"/>
        <w:numPr>
          <w:ilvl w:val="0"/>
          <w:numId w:val="1040"/>
        </w:numPr>
      </w:pPr>
      <w:r>
        <w:t xml:space="preserve">Device upgrade experience: Setup path for existing customers transferring to a new device</w:t>
      </w:r>
    </w:p>
    <w:p>
      <w:pPr>
        <w:pStyle w:val="Compact"/>
        <w:numPr>
          <w:ilvl w:val="0"/>
          <w:numId w:val="1040"/>
        </w:numPr>
      </w:pPr>
      <w:r>
        <w:t xml:space="preserve">Smart Switch: Samsung’s transfer tool; baseline competitor</w:t>
      </w:r>
    </w:p>
    <w:p>
      <w:pPr>
        <w:pStyle w:val="Compact"/>
        <w:numPr>
          <w:ilvl w:val="0"/>
          <w:numId w:val="1040"/>
        </w:numPr>
      </w:pPr>
      <w:r>
        <w:t xml:space="preserve">Phablet: Large-screen phone form factor</w:t>
      </w:r>
    </w:p>
    <w:p>
      <w:pPr>
        <w:pStyle w:val="Compact"/>
        <w:numPr>
          <w:ilvl w:val="0"/>
          <w:numId w:val="1040"/>
        </w:numPr>
      </w:pPr>
      <w:r>
        <w:t xml:space="preserve">Temporary Carrier Takeover: Short-term process (e.g., SIM swap, agent install) to capture telemetry and prepare migration</w:t>
      </w:r>
    </w:p>
    <w:p>
      <w:pPr>
        <w:pStyle w:val="Compact"/>
        <w:numPr>
          <w:ilvl w:val="0"/>
          <w:numId w:val="1040"/>
        </w:numPr>
      </w:pPr>
      <w:r>
        <w:t xml:space="preserve">App Stub/Placeholder: Minimal presence rendered before full install to enable early navigation</w:t>
      </w:r>
    </w:p>
    <w:p>
      <w:pPr>
        <w:pStyle w:val="Compact"/>
        <w:numPr>
          <w:ilvl w:val="0"/>
          <w:numId w:val="1040"/>
        </w:numPr>
      </w:pPr>
      <w:r>
        <w:t xml:space="preserve">Race Condition: Conflicts when multiple restore/configuration processes run concurrently</w:t>
      </w:r>
    </w:p>
    <w:p>
      <w:pPr>
        <w:pStyle w:val="Compact"/>
        <w:numPr>
          <w:ilvl w:val="0"/>
          <w:numId w:val="1040"/>
        </w:numPr>
      </w:pPr>
      <w:r>
        <w:t xml:space="preserve">Global SKU: Device variant sold across carriers capable of different personas</w:t>
      </w:r>
    </w:p>
    <w:p>
      <w:pPr>
        <w:pStyle w:val="Compact"/>
        <w:numPr>
          <w:ilvl w:val="0"/>
          <w:numId w:val="1040"/>
        </w:numPr>
      </w:pPr>
      <w:r>
        <w:t xml:space="preserve">Inter-app arbitration: Mechanism coordinating competing applications (e.g., lock screen providers) to prevent conflicts</w:t>
      </w:r>
    </w:p>
    <w:p>
      <w:pPr>
        <w:pStyle w:val="Compact"/>
        <w:numPr>
          <w:ilvl w:val="0"/>
          <w:numId w:val="1040"/>
        </w:numPr>
      </w:pPr>
      <w:r>
        <w:t xml:space="preserve">Controller-based arbitration / Widget arbitration: Arbitration modes coordinating controllers/widgets; scope to be defined</w:t>
      </w:r>
    </w:p>
    <w:p>
      <w:pPr>
        <w:pStyle w:val="Compact"/>
        <w:numPr>
          <w:ilvl w:val="0"/>
          <w:numId w:val="1040"/>
        </w:numPr>
      </w:pPr>
      <w:r>
        <w:t xml:space="preserve">Attribution markers: In-app telemetry indicators denoting user state within an app</w:t>
      </w:r>
    </w:p>
    <w:p>
      <w:pPr>
        <w:pStyle w:val="Compact"/>
        <w:numPr>
          <w:ilvl w:val="0"/>
          <w:numId w:val="1040"/>
        </w:numPr>
      </w:pPr>
      <w:r>
        <w:t xml:space="preserve">Landing experience: Reconstructed/adapted UI on the target device post-migration preserving groupings and prominence</w:t>
      </w:r>
    </w:p>
    <w:p>
      <w:pPr>
        <w:pStyle w:val="Compact"/>
        <w:numPr>
          <w:ilvl w:val="0"/>
          <w:numId w:val="1040"/>
        </w:numPr>
      </w:pPr>
      <w:r>
        <w:t xml:space="preserve">Form factor conversion: Adapting UI across different grid sizes/displays while preserving functional groupings</w:t>
      </w:r>
    </w:p>
    <w:p>
      <w:pPr>
        <w:pStyle w:val="Compact"/>
        <w:numPr>
          <w:ilvl w:val="0"/>
          <w:numId w:val="1040"/>
        </w:numPr>
      </w:pPr>
      <w:r>
        <w:t xml:space="preserve">Layout intelligence: Understanding folders, pages, spatial placement to drive app organization</w:t>
      </w:r>
    </w:p>
    <w:p>
      <w:pPr>
        <w:pStyle w:val="Compact"/>
        <w:numPr>
          <w:ilvl w:val="0"/>
          <w:numId w:val="1040"/>
        </w:numPr>
      </w:pPr>
      <w:r>
        <w:t xml:space="preserve">App Unity: Referenced installer/orchestrator to load prioritized apps (term requires confirmation)</w:t>
      </w:r>
    </w:p>
    <w:p>
      <w:pPr>
        <w:pStyle w:val="FirstParagraph"/>
      </w:pPr>
      <w:r>
        <w:t xml:space="preserve">Terms needing clarification:</w:t>
      </w:r>
    </w:p>
    <w:p>
      <w:pPr>
        <w:pStyle w:val="Compact"/>
        <w:numPr>
          <w:ilvl w:val="0"/>
          <w:numId w:val="1041"/>
        </w:numPr>
      </w:pPr>
      <w:r>
        <w:t xml:space="preserve">Exact scope of “pre-grants” at the carrier tools layer across OEMs and OS versions</w:t>
      </w:r>
    </w:p>
    <w:p>
      <w:pPr>
        <w:pStyle w:val="Compact"/>
        <w:numPr>
          <w:ilvl w:val="0"/>
          <w:numId w:val="1041"/>
        </w:numPr>
      </w:pPr>
      <w:r>
        <w:t xml:space="preserve">“Continuous persona development” data model specifics, update cadence</w:t>
      </w:r>
    </w:p>
    <w:p>
      <w:pPr>
        <w:pStyle w:val="Compact"/>
        <w:numPr>
          <w:ilvl w:val="0"/>
          <w:numId w:val="1041"/>
        </w:numPr>
      </w:pPr>
      <w:r>
        <w:t xml:space="preserve">“Specifications that go to our OEMs” — enforcement mechanisms and exact requirements</w:t>
      </w:r>
    </w:p>
    <w:p>
      <w:pPr>
        <w:pStyle w:val="Compact"/>
        <w:numPr>
          <w:ilvl w:val="0"/>
          <w:numId w:val="1041"/>
        </w:numPr>
      </w:pPr>
      <w:r>
        <w:t xml:space="preserve">“Fixing apps” — scope (reconfiguration vs. remediation)</w:t>
      </w:r>
    </w:p>
    <w:p>
      <w:pPr>
        <w:pStyle w:val="Compact"/>
        <w:numPr>
          <w:ilvl w:val="0"/>
          <w:numId w:val="1041"/>
        </w:numPr>
      </w:pPr>
      <w:r>
        <w:t xml:space="preserve">“Deep access” specifics: APIs/permissions and OEM support</w:t>
      </w:r>
    </w:p>
    <w:p>
      <w:pPr>
        <w:pStyle w:val="Compact"/>
        <w:numPr>
          <w:ilvl w:val="0"/>
          <w:numId w:val="1041"/>
        </w:numPr>
      </w:pPr>
      <w:r>
        <w:t xml:space="preserve">“Revenue-critical preloads” — definitions and business rules</w:t>
      </w:r>
    </w:p>
    <w:p>
      <w:pPr>
        <w:pStyle w:val="Compact"/>
        <w:numPr>
          <w:ilvl w:val="0"/>
          <w:numId w:val="1041"/>
        </w:numPr>
      </w:pPr>
      <w:r>
        <w:t xml:space="preserve">Mediator layer architecture: components and interfaces with OEM tools</w:t>
      </w:r>
    </w:p>
    <w:p>
      <w:pPr>
        <w:pStyle w:val="Compact"/>
        <w:numPr>
          <w:ilvl w:val="0"/>
          <w:numId w:val="1041"/>
        </w:numPr>
      </w:pPr>
      <w:r>
        <w:t xml:space="preserve">“Controller-based arbitration” and “Widget arbitration” — roles, rules</w:t>
      </w:r>
    </w:p>
    <w:p>
      <w:pPr>
        <w:pStyle w:val="Compact"/>
        <w:numPr>
          <w:ilvl w:val="0"/>
          <w:numId w:val="1041"/>
        </w:numPr>
      </w:pPr>
      <w:r>
        <w:t xml:space="preserve">Inter-arbitration messaging protocol and transport options</w:t>
      </w:r>
    </w:p>
    <w:p>
      <w:pPr>
        <w:pStyle w:val="Compact"/>
        <w:numPr>
          <w:ilvl w:val="0"/>
          <w:numId w:val="1041"/>
        </w:numPr>
      </w:pPr>
      <w:r>
        <w:t xml:space="preserve">“Samsung television” and “Android tablet” migration scope and APIs</w:t>
      </w:r>
    </w:p>
    <w:bookmarkEnd w:id="32"/>
    <w:bookmarkStart w:id="33" w:name="gaps"/>
    <w:p>
      <w:pPr>
        <w:pStyle w:val="1"/>
      </w:pPr>
      <w:r>
        <w:t xml:space="preserve">Gaps</w:t>
      </w:r>
    </w:p>
    <w:p>
      <w:pPr>
        <w:numPr>
          <w:ilvl w:val="0"/>
          <w:numId w:val="1042"/>
        </w:numPr>
      </w:pPr>
      <w:r>
        <w:t xml:space="preserve">Client-called gaps in current systems</w:t>
      </w:r>
    </w:p>
    <w:p>
      <w:pPr>
        <w:pStyle w:val="Compact"/>
        <w:numPr>
          <w:ilvl w:val="1"/>
          <w:numId w:val="1043"/>
        </w:numPr>
      </w:pPr>
      <w:r>
        <w:t xml:space="preserve">OEM tools (Smart Switch, Apple restores) miss deeper settings/preferences; layouts not preserved; users retune settings for days</w:t>
      </w:r>
    </w:p>
    <w:p>
      <w:pPr>
        <w:pStyle w:val="Compact"/>
        <w:numPr>
          <w:ilvl w:val="1"/>
          <w:numId w:val="1043"/>
        </w:numPr>
      </w:pPr>
      <w:r>
        <w:t xml:space="preserve">Long migration times; multi-hour blocking experiences; poor initial usability</w:t>
      </w:r>
    </w:p>
    <w:p>
      <w:pPr>
        <w:pStyle w:val="Compact"/>
        <w:numPr>
          <w:ilvl w:val="1"/>
          <w:numId w:val="1043"/>
        </w:numPr>
      </w:pPr>
      <w:r>
        <w:t xml:space="preserve">Concurrency issues when multiple restore processes run; race conditions</w:t>
      </w:r>
    </w:p>
    <w:p>
      <w:pPr>
        <w:pStyle w:val="Compact"/>
        <w:numPr>
          <w:ilvl w:val="1"/>
          <w:numId w:val="1043"/>
        </w:numPr>
      </w:pPr>
      <w:r>
        <w:t xml:space="preserve">Cross-carrier migrations lack smooth persona/profile transfer</w:t>
      </w:r>
    </w:p>
    <w:p>
      <w:pPr>
        <w:pStyle w:val="Compact"/>
        <w:numPr>
          <w:ilvl w:val="1"/>
          <w:numId w:val="1043"/>
        </w:numPr>
      </w:pPr>
      <w:r>
        <w:t xml:space="preserve">Opt-out preferences siloed across devices/apps (e.g., Samsung TV); repeated user effort</w:t>
      </w:r>
    </w:p>
    <w:p>
      <w:pPr>
        <w:pStyle w:val="Compact"/>
        <w:numPr>
          <w:ilvl w:val="1"/>
          <w:numId w:val="1043"/>
        </w:numPr>
      </w:pPr>
      <w:r>
        <w:t xml:space="preserve">Lock screen vendor expiry models ignore real-world behavior; excessive refresh; device overload</w:t>
      </w:r>
    </w:p>
    <w:p>
      <w:pPr>
        <w:pStyle w:val="Compact"/>
        <w:numPr>
          <w:ilvl w:val="1"/>
          <w:numId w:val="1043"/>
        </w:numPr>
      </w:pPr>
      <w:r>
        <w:t xml:space="preserve">Production failures: competing lock screen apps “killing each other” due to lack of coordination</w:t>
      </w:r>
    </w:p>
    <w:p>
      <w:pPr>
        <w:numPr>
          <w:ilvl w:val="0"/>
          <w:numId w:val="1043"/>
        </w:numPr>
      </w:pPr>
      <w:r>
        <w:t xml:space="preserve">Our system potential gaps</w:t>
      </w:r>
    </w:p>
    <w:p>
      <w:pPr>
        <w:pStyle w:val="Compact"/>
        <w:numPr>
          <w:ilvl w:val="1"/>
          <w:numId w:val="1044"/>
        </w:numPr>
      </w:pPr>
      <w:r>
        <w:t xml:space="preserve">Consent and governance for linking advertising, billing, and device telemetry need explicit frameworks and compliant UX</w:t>
      </w:r>
    </w:p>
    <w:p>
      <w:pPr>
        <w:pStyle w:val="Compact"/>
        <w:numPr>
          <w:ilvl w:val="1"/>
          <w:numId w:val="1044"/>
        </w:numPr>
      </w:pPr>
      <w:r>
        <w:t xml:space="preserve">Cross-OEM/form-factor fidelity may be inconsistent without detailed per-OEM adapters and launcher parsing</w:t>
      </w:r>
    </w:p>
    <w:p>
      <w:pPr>
        <w:pStyle w:val="Compact"/>
        <w:numPr>
          <w:ilvl w:val="1"/>
          <w:numId w:val="1044"/>
        </w:numPr>
      </w:pPr>
      <w:r>
        <w:t xml:space="preserve">iOS limitations may restrict parity with Android; feasibility unclear for certain features</w:t>
      </w:r>
    </w:p>
    <w:p>
      <w:pPr>
        <w:pStyle w:val="Compact"/>
        <w:numPr>
          <w:ilvl w:val="1"/>
          <w:numId w:val="1044"/>
        </w:numPr>
      </w:pPr>
      <w:r>
        <w:t xml:space="preserve">Performance SLAs for setup time, restoration accuracy, arbitration latency need formalization</w:t>
      </w:r>
    </w:p>
    <w:p>
      <w:pPr>
        <w:pStyle w:val="Compact"/>
        <w:numPr>
          <w:ilvl w:val="1"/>
          <w:numId w:val="1044"/>
        </w:numPr>
      </w:pPr>
      <w:r>
        <w:t xml:space="preserve">Rollback mechanisms if applied settings cause issues are not explicitly defined</w:t>
      </w:r>
    </w:p>
    <w:p>
      <w:pPr>
        <w:pStyle w:val="Compact"/>
        <w:numPr>
          <w:ilvl w:val="1"/>
          <w:numId w:val="1044"/>
        </w:numPr>
      </w:pPr>
      <w:r>
        <w:t xml:space="preserve">Patent uniqueness around AI targeting vs. prior art needs clearer differentiators and technical methods beyond permission levels</w:t>
      </w:r>
    </w:p>
    <w:p>
      <w:pPr>
        <w:pStyle w:val="Compact"/>
        <w:numPr>
          <w:ilvl w:val="1"/>
          <w:numId w:val="1044"/>
        </w:numPr>
      </w:pPr>
      <w:r>
        <w:t xml:space="preserve">Temporary takeover solution for foreign devices not yet implemented; permissions/workflows undefined</w:t>
      </w:r>
    </w:p>
    <w:p>
      <w:pPr>
        <w:pStyle w:val="Compact"/>
        <w:numPr>
          <w:ilvl w:val="1"/>
          <w:numId w:val="1044"/>
        </w:numPr>
      </w:pPr>
      <w:r>
        <w:t xml:space="preserve">Backup/restore of texts/photos in carrier-led flow needs defined method and policy alignment</w:t>
      </w:r>
    </w:p>
    <w:p>
      <w:pPr>
        <w:pStyle w:val="Compact"/>
        <w:numPr>
          <w:ilvl w:val="1"/>
          <w:numId w:val="1044"/>
        </w:numPr>
      </w:pPr>
      <w:r>
        <w:t xml:space="preserve">Conflict management with OEM restore tools requires formal orchestration and guarantees</w:t>
      </w:r>
    </w:p>
    <w:p>
      <w:pPr>
        <w:pStyle w:val="Compact"/>
        <w:numPr>
          <w:ilvl w:val="1"/>
          <w:numId w:val="1044"/>
        </w:numPr>
      </w:pPr>
      <w:r>
        <w:t xml:space="preserve">Inter-app arbitration messaging protocol not fully specified; platform restrictions may limit cross-app coordination</w:t>
      </w:r>
    </w:p>
    <w:p>
      <w:pPr>
        <w:pStyle w:val="Compact"/>
        <w:numPr>
          <w:ilvl w:val="1"/>
          <w:numId w:val="1044"/>
        </w:numPr>
      </w:pPr>
      <w:r>
        <w:t xml:space="preserve">Ecosystem extensions (TV, smart home) conceptual; APIs and integrations not defined</w:t>
      </w:r>
    </w:p>
    <w:bookmarkEnd w:id="33"/>
    <w:bookmarkStart w:id="34" w:name="decisions-and-action-items"/>
    <w:p>
      <w:pPr>
        <w:pStyle w:val="1"/>
      </w:pPr>
      <w:r>
        <w:t xml:space="preserve">Decisions and Action Items</w:t>
      </w:r>
    </w:p>
    <w:p>
      <w:pPr>
        <w:numPr>
          <w:ilvl w:val="0"/>
          <w:numId w:val="1045"/>
        </w:numPr>
      </w:pPr>
      <w:r>
        <w:t xml:space="preserve">Decisions</w:t>
      </w:r>
    </w:p>
    <w:p>
      <w:pPr>
        <w:pStyle w:val="Compact"/>
        <w:numPr>
          <w:ilvl w:val="1"/>
          <w:numId w:val="1046"/>
        </w:numPr>
      </w:pPr>
      <w:r>
        <w:t xml:space="preserve">Proceed with patent conversions based on continued commercial significance</w:t>
      </w:r>
    </w:p>
    <w:p>
      <w:pPr>
        <w:pStyle w:val="Compact"/>
        <w:numPr>
          <w:ilvl w:val="1"/>
          <w:numId w:val="1046"/>
        </w:numPr>
      </w:pPr>
      <w:r>
        <w:t xml:space="preserve">Focus on middleware carrier-layer approach and AI personalization as core IP themes; defer heavy ad-related claims initially</w:t>
      </w:r>
    </w:p>
    <w:p>
      <w:pPr>
        <w:pStyle w:val="Compact"/>
        <w:numPr>
          <w:ilvl w:val="1"/>
          <w:numId w:val="1046"/>
        </w:numPr>
      </w:pPr>
      <w:r>
        <w:t xml:space="preserve">Store reusable profiles and apply across device transitions; enable default and custom profiles</w:t>
      </w:r>
    </w:p>
    <w:p>
      <w:pPr>
        <w:pStyle w:val="Compact"/>
        <w:numPr>
          <w:ilvl w:val="1"/>
          <w:numId w:val="1046"/>
        </w:numPr>
      </w:pPr>
      <w:r>
        <w:t xml:space="preserve">Pursue two-stage migration flow including temporary carrier takeover for cross-carrier transitions</w:t>
      </w:r>
    </w:p>
    <w:p>
      <w:pPr>
        <w:pStyle w:val="Compact"/>
        <w:numPr>
          <w:ilvl w:val="1"/>
          <w:numId w:val="1046"/>
        </w:numPr>
      </w:pPr>
      <w:r>
        <w:t xml:space="preserve">Use telemetry plus carrier-controlled OOBE to prioritize critical app stubs and settings for rapid initial usability</w:t>
      </w:r>
    </w:p>
    <w:p>
      <w:pPr>
        <w:pStyle w:val="Compact"/>
        <w:numPr>
          <w:ilvl w:val="1"/>
          <w:numId w:val="1046"/>
        </w:numPr>
      </w:pPr>
      <w:r>
        <w:t xml:space="preserve">Focus primary patent claims on technical solutions (data gathering, correlation, migration logic, arbitration protocols); AI/data novelty as secondary</w:t>
      </w:r>
    </w:p>
    <w:p>
      <w:pPr>
        <w:numPr>
          <w:ilvl w:val="0"/>
          <w:numId w:val="1046"/>
        </w:numPr>
      </w:pPr>
      <w:r>
        <w:t xml:space="preserve">Action Items</w:t>
      </w:r>
    </w:p>
    <w:p>
      <w:pPr>
        <w:pStyle w:val="Compact"/>
        <w:numPr>
          <w:ilvl w:val="1"/>
          <w:numId w:val="1047"/>
        </w:numPr>
      </w:pPr>
      <w:r>
        <w:t xml:space="preserve">Guy to start conversions; meeting recorded via Teams</w:t>
      </w:r>
    </w:p>
    <w:p>
      <w:pPr>
        <w:pStyle w:val="Compact"/>
        <w:numPr>
          <w:ilvl w:val="1"/>
          <w:numId w:val="1047"/>
        </w:numPr>
      </w:pPr>
      <w:r>
        <w:t xml:space="preserve">Michael Piper to visit with Bob Ertz in approximately two weeks from 2026-03-10 for further discussion</w:t>
      </w:r>
    </w:p>
    <w:p>
      <w:pPr>
        <w:pStyle w:val="Compact"/>
        <w:numPr>
          <w:ilvl w:val="1"/>
          <w:numId w:val="1047"/>
        </w:numPr>
      </w:pPr>
      <w:r>
        <w:t xml:space="preserve">Define and document detailed persona schema and per-setting restoration mapping; specify profile data schema, storage, encryption, versioning, retention</w:t>
      </w:r>
    </w:p>
    <w:p>
      <w:pPr>
        <w:pStyle w:val="Compact"/>
        <w:numPr>
          <w:ilvl w:val="1"/>
          <w:numId w:val="1047"/>
        </w:numPr>
      </w:pPr>
      <w:r>
        <w:t xml:space="preserve">Draft consent and privacy UX for data linkage (telemetry + billing + T-Ads); define permissions/API access for foreign devices; compliance review</w:t>
      </w:r>
    </w:p>
    <w:p>
      <w:pPr>
        <w:pStyle w:val="Compact"/>
        <w:numPr>
          <w:ilvl w:val="1"/>
          <w:numId w:val="1047"/>
        </w:numPr>
      </w:pPr>
      <w:r>
        <w:t xml:space="preserve">Establish performance targets and monitoring for OOB/upgrade flows; design orchestration to avoid race conditions; specify task priority rules (including revenue-critical preloads)</w:t>
      </w:r>
    </w:p>
    <w:p>
      <w:pPr>
        <w:pStyle w:val="Compact"/>
        <w:numPr>
          <w:ilvl w:val="1"/>
          <w:numId w:val="1047"/>
        </w:numPr>
      </w:pPr>
      <w:r>
        <w:t xml:space="preserve">Create per-OEM capability matrix and adapters for settings capture/apply; prototype app stubs and prioritized install behavior; measure migration performance targets</w:t>
      </w:r>
    </w:p>
    <w:p>
      <w:pPr>
        <w:pStyle w:val="Compact"/>
        <w:numPr>
          <w:ilvl w:val="1"/>
          <w:numId w:val="1047"/>
        </w:numPr>
      </w:pPr>
      <w:r>
        <w:t xml:space="preserve">Evaluate feasibility and integrations for ecosystem devices (TV, smart home, tablet, home internet)</w:t>
      </w:r>
    </w:p>
    <w:p>
      <w:pPr>
        <w:pStyle w:val="Compact"/>
        <w:numPr>
          <w:ilvl w:val="1"/>
          <w:numId w:val="1047"/>
        </w:numPr>
      </w:pPr>
      <w:r>
        <w:t xml:space="preserve">Create retail workflow and tooling for SIM swap, telemetry capture, backup, and profile push; compliant handling of personal content backups</w:t>
      </w:r>
    </w:p>
    <w:p>
      <w:pPr>
        <w:pStyle w:val="Compact"/>
        <w:numPr>
          <w:ilvl w:val="1"/>
          <w:numId w:val="1047"/>
        </w:numPr>
      </w:pPr>
      <w:r>
        <w:t xml:space="preserve">Establish opt-out preference capture and propagation across devices/services</w:t>
      </w:r>
    </w:p>
    <w:p>
      <w:pPr>
        <w:pStyle w:val="Compact"/>
        <w:numPr>
          <w:ilvl w:val="1"/>
          <w:numId w:val="1047"/>
        </w:numPr>
      </w:pPr>
      <w:r>
        <w:t xml:space="preserve">Bill Mc to provide workflow/component diagrams showing middle-layer position, data sources, communication paths; expand telemetry/settings list used for AI training</w:t>
      </w:r>
    </w:p>
    <w:p>
      <w:pPr>
        <w:pStyle w:val="Compact"/>
        <w:numPr>
          <w:ilvl w:val="1"/>
          <w:numId w:val="1047"/>
        </w:numPr>
      </w:pPr>
      <w:r>
        <w:t xml:space="preserve">Bill Mc to share messaging protocol details for inter-app arbitration prior to next call; supply implementation artifacts incrementally</w:t>
      </w:r>
    </w:p>
    <w:p>
      <w:pPr>
        <w:pStyle w:val="Compact"/>
        <w:numPr>
          <w:ilvl w:val="1"/>
          <w:numId w:val="1047"/>
        </w:numPr>
      </w:pPr>
      <w:r>
        <w:t xml:space="preserve">Gayatry Nair to start drafting the application discussed on 2026-03-10; deliver application by 2026-03-13; file by 2026-03-19</w:t>
      </w:r>
    </w:p>
    <w:p>
      <w:pPr>
        <w:pStyle w:val="Compact"/>
        <w:numPr>
          <w:ilvl w:val="1"/>
          <w:numId w:val="1047"/>
        </w:numPr>
      </w:pPr>
      <w:r>
        <w:t xml:space="preserve">Team to review algorithm details on 2026-03-12 at 10:00 AM Central Time to determine novelty and protectable elements; validate platform compliance to avoid app removal</w:t>
      </w:r>
    </w:p>
    <w:bookmarkEnd w:id="34"/>
    <w:bookmarkStart w:id="35" w:name="suggestions-and-risk-callouts"/>
    <w:p>
      <w:pPr>
        <w:pStyle w:val="1"/>
      </w:pPr>
      <w:r>
        <w:t xml:space="preserve">Suggestions and Risk Callouts</w:t>
      </w:r>
    </w:p>
    <w:p>
      <w:pPr>
        <w:pStyle w:val="Compact"/>
        <w:numPr>
          <w:ilvl w:val="0"/>
          <w:numId w:val="1048"/>
        </w:numPr>
      </w:pPr>
      <w:r>
        <w:t xml:space="preserve">Privacy/compliance risk: implement comprehensive consent management and governance; legal review prior to launch; separate monetization from concierge flows early</w:t>
      </w:r>
    </w:p>
    <w:p>
      <w:pPr>
        <w:pStyle w:val="Compact"/>
        <w:numPr>
          <w:ilvl w:val="0"/>
          <w:numId w:val="1048"/>
        </w:numPr>
      </w:pPr>
      <w:r>
        <w:t xml:space="preserve">Platform risk: Android-first implementation; plan iOS adaptations; perform feasibility assessments on carrier tools access; alternative pathways where restricted</w:t>
      </w:r>
    </w:p>
    <w:p>
      <w:pPr>
        <w:pStyle w:val="Compact"/>
        <w:numPr>
          <w:ilvl w:val="0"/>
          <w:numId w:val="1048"/>
        </w:numPr>
      </w:pPr>
      <w:r>
        <w:t xml:space="preserve">UX risk: ensure transparency and user control; provide preview and undo/rollback; profile preview during OOBE; progressive consent to build trust</w:t>
      </w:r>
    </w:p>
    <w:p>
      <w:pPr>
        <w:pStyle w:val="Compact"/>
        <w:numPr>
          <w:ilvl w:val="0"/>
          <w:numId w:val="1048"/>
        </w:numPr>
      </w:pPr>
      <w:r>
        <w:t xml:space="preserve">Data quality risk: intelligent defaults for new customers; progressive personalization as telemetry accrues; avoid overfitting to idiosyncratic layouts</w:t>
      </w:r>
    </w:p>
    <w:p>
      <w:pPr>
        <w:pStyle w:val="Compact"/>
        <w:numPr>
          <w:ilvl w:val="0"/>
          <w:numId w:val="1048"/>
        </w:numPr>
      </w:pPr>
      <w:r>
        <w:t xml:space="preserve">Architecture suggestions: versioned, schema-driven configuration snapshots with diffs; interpretable models to explain recommendations; federated/on-device learning to reduce privacy concerns</w:t>
      </w:r>
    </w:p>
    <w:p>
      <w:pPr>
        <w:pStyle w:val="Compact"/>
        <w:numPr>
          <w:ilvl w:val="0"/>
          <w:numId w:val="1048"/>
        </w:numPr>
      </w:pPr>
      <w:r>
        <w:t xml:space="preserve">Operational suggestions: post-setup health checks to validate applied settings and offer quick fixes; retail training and tooling for SIM swaps and takeover</w:t>
      </w:r>
    </w:p>
    <w:p>
      <w:pPr>
        <w:pStyle w:val="Compact"/>
        <w:numPr>
          <w:ilvl w:val="0"/>
          <w:numId w:val="1048"/>
        </w:numPr>
      </w:pPr>
      <w:r>
        <w:t xml:space="preserve">Arbitration suggestions: define event priorities, backoff/throttling, refresh windows; shared “seen content” registry/tokenization without violating sandboxing; authenticated messaging; measurable targets</w:t>
      </w:r>
    </w:p>
    <w:p>
      <w:pPr>
        <w:pStyle w:val="Compact"/>
        <w:numPr>
          <w:ilvl w:val="0"/>
          <w:numId w:val="1048"/>
        </w:numPr>
      </w:pPr>
      <w:r>
        <w:t xml:space="preserve">Patent positioning: emphasize novel combination of multi-domain data (carrier, billing, ads), privileged deep settings application, intelligent layout preservation across form factors, staged restoration, and inter-app arbitration protocols</w:t>
      </w:r>
    </w:p>
    <w:p>
      <w:pPr>
        <w:pStyle w:val="FirstParagraph"/>
      </w:pPr>
      <w:r>
        <w:t xml:space="preserve">Content creation date: 2026-03-10 11:34:16</w:t>
      </w:r>
    </w:p>
    <w:bookmarkEnd w:id="35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2026-03-12T08:15:04Z</dcterms:created>
  <dcterms:modified xsi:type="dcterms:W3CDTF">2026-03-12T08:15:04Z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