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9fdde17bd4efc6acd78e9063494a289491bc80f"/>
    <w:p>
      <w:pPr>
        <w:pStyle w:val="Heading1"/>
      </w:pPr>
      <w:r>
        <w:t xml:space="preserve">Lock / Unlock Screen Inter-App Arbitration System</w:t>
      </w:r>
    </w:p>
    <w:bookmarkStart w:id="20" w:name="volume-1-architecture-specification"/>
    <w:p>
      <w:pPr>
        <w:pStyle w:val="Heading2"/>
      </w:pPr>
      <w:r>
        <w:t xml:space="preserve">Volume 1 — Architecture Specification</w:t>
      </w:r>
    </w:p>
    <w:bookmarkEnd w:id="20"/>
    <w:bookmarkEnd w:id="21"/>
    <w:bookmarkStart w:id="22" w:name="document-purpose"/>
    <w:p>
      <w:pPr>
        <w:pStyle w:val="Heading1"/>
      </w:pPr>
      <w:r>
        <w:t xml:space="preserve">Document Purpose</w:t>
      </w:r>
    </w:p>
    <w:p>
      <w:pPr>
        <w:pStyle w:val="FirstParagraph"/>
      </w:pPr>
      <w:r>
        <w:t xml:space="preserve">This volume defines the architecture, system purpose, business drivers, high-level component model, and platform design objectives for a cooperative on-device arbitration system governing lock-screen and unlock-screen media surfaces shared by multiple vendor applications.</w:t>
      </w:r>
    </w:p>
    <w:p>
      <w:pPr>
        <w:pStyle w:val="BodyText"/>
      </w:pPr>
      <w:r>
        <w:t xml:space="preserve">This is a detailed engineering specification volume, not a concept summary. It is intended for:</w:t>
      </w:r>
    </w:p>
    <w:p>
      <w:pPr>
        <w:pStyle w:val="Compact"/>
        <w:numPr>
          <w:ilvl w:val="0"/>
          <w:numId w:val="1001"/>
        </w:numPr>
      </w:pPr>
      <w:r>
        <w:t xml:space="preserve">software architects</w:t>
      </w:r>
    </w:p>
    <w:p>
      <w:pPr>
        <w:pStyle w:val="Compact"/>
        <w:numPr>
          <w:ilvl w:val="0"/>
          <w:numId w:val="1001"/>
        </w:numPr>
      </w:pPr>
      <w:r>
        <w:t xml:space="preserve">Android platform engineers</w:t>
      </w:r>
    </w:p>
    <w:p>
      <w:pPr>
        <w:pStyle w:val="Compact"/>
        <w:numPr>
          <w:ilvl w:val="0"/>
          <w:numId w:val="1001"/>
        </w:numPr>
      </w:pPr>
      <w:r>
        <w:t xml:space="preserve">security reviewers</w:t>
      </w:r>
    </w:p>
    <w:p>
      <w:pPr>
        <w:pStyle w:val="Compact"/>
        <w:numPr>
          <w:ilvl w:val="0"/>
          <w:numId w:val="1001"/>
        </w:numPr>
      </w:pPr>
      <w:r>
        <w:t xml:space="preserve">patent counsel</w:t>
      </w:r>
    </w:p>
    <w:p>
      <w:pPr>
        <w:pStyle w:val="Compact"/>
        <w:numPr>
          <w:ilvl w:val="0"/>
          <w:numId w:val="1001"/>
        </w:numPr>
      </w:pPr>
      <w:r>
        <w:t xml:space="preserve">vendor integration teams</w:t>
      </w:r>
    </w:p>
    <w:p>
      <w:pPr>
        <w:pStyle w:val="FirstParagraph"/>
      </w:pPr>
      <w:r>
        <w:t xml:space="preserve">This volume explains what problem the system solves, why Android alone does not solve it, how the arbitration service fits into the device architecture, and how participating vendor applications interact with the system at the architectural level.</w:t>
      </w:r>
    </w:p>
    <w:p>
      <w:r>
        <w:pict>
          <v:rect style="width:0;height:1.5pt" o:hralign="center" o:hrstd="t" o:hr="t"/>
        </w:pict>
      </w:r>
    </w:p>
    <w:bookmarkEnd w:id="22"/>
    <w:bookmarkStart w:id="23" w:name="problem-statement"/>
    <w:p>
      <w:pPr>
        <w:pStyle w:val="Heading1"/>
      </w:pPr>
      <w:r>
        <w:t xml:space="preserve">Problem Statement</w:t>
      </w:r>
    </w:p>
    <w:p>
      <w:pPr>
        <w:pStyle w:val="FirstParagraph"/>
      </w:pPr>
      <w:r>
        <w:t xml:space="preserve">Modern Android devices increasingly host multiple independent applications that attempt to provide media-driven functionality on lock-screen and unlock-screen experiences. These applications may surface:</w:t>
      </w:r>
    </w:p>
    <w:p>
      <w:pPr>
        <w:pStyle w:val="Compact"/>
        <w:numPr>
          <w:ilvl w:val="0"/>
          <w:numId w:val="1002"/>
        </w:numPr>
      </w:pPr>
      <w:r>
        <w:t xml:space="preserve">advertising media</w:t>
      </w:r>
    </w:p>
    <w:p>
      <w:pPr>
        <w:pStyle w:val="Compact"/>
        <w:numPr>
          <w:ilvl w:val="0"/>
          <w:numId w:val="1002"/>
        </w:numPr>
      </w:pPr>
      <w:r>
        <w:t xml:space="preserve">commerce offers</w:t>
      </w:r>
    </w:p>
    <w:p>
      <w:pPr>
        <w:pStyle w:val="Compact"/>
        <w:numPr>
          <w:ilvl w:val="0"/>
          <w:numId w:val="1002"/>
        </w:numPr>
      </w:pPr>
      <w:r>
        <w:t xml:space="preserve">recommendation content</w:t>
      </w:r>
    </w:p>
    <w:p>
      <w:pPr>
        <w:pStyle w:val="Compact"/>
        <w:numPr>
          <w:ilvl w:val="0"/>
          <w:numId w:val="1002"/>
        </w:numPr>
      </w:pPr>
      <w:r>
        <w:t xml:space="preserve">engagement widgets</w:t>
      </w:r>
    </w:p>
    <w:p>
      <w:pPr>
        <w:pStyle w:val="Compact"/>
        <w:numPr>
          <w:ilvl w:val="0"/>
          <w:numId w:val="1002"/>
        </w:numPr>
      </w:pPr>
      <w:r>
        <w:t xml:space="preserve">carrier or OEM promotion modules</w:t>
      </w:r>
    </w:p>
    <w:p>
      <w:pPr>
        <w:pStyle w:val="Compact"/>
        <w:numPr>
          <w:ilvl w:val="0"/>
          <w:numId w:val="1002"/>
        </w:numPr>
      </w:pPr>
      <w:r>
        <w:t xml:space="preserve">dynamic content panels</w:t>
      </w:r>
    </w:p>
    <w:p>
      <w:pPr>
        <w:pStyle w:val="FirstParagraph"/>
      </w:pPr>
      <w:r>
        <w:t xml:space="preserve">Two independent vendor applications may both require the ability to:</w:t>
      </w:r>
    </w:p>
    <w:p>
      <w:pPr>
        <w:pStyle w:val="Compact"/>
        <w:numPr>
          <w:ilvl w:val="0"/>
          <w:numId w:val="1003"/>
        </w:numPr>
      </w:pPr>
      <w:r>
        <w:t xml:space="preserve">refresh media payloads from remote endpoints</w:t>
      </w:r>
    </w:p>
    <w:p>
      <w:pPr>
        <w:pStyle w:val="Compact"/>
        <w:numPr>
          <w:ilvl w:val="0"/>
          <w:numId w:val="1003"/>
        </w:numPr>
      </w:pPr>
      <w:r>
        <w:t xml:space="preserve">stage media locally ahead of expected user interaction</w:t>
      </w:r>
    </w:p>
    <w:p>
      <w:pPr>
        <w:pStyle w:val="Compact"/>
        <w:numPr>
          <w:ilvl w:val="0"/>
          <w:numId w:val="1003"/>
        </w:numPr>
      </w:pPr>
      <w:r>
        <w:t xml:space="preserve">render media when lock or unlock events occur</w:t>
      </w:r>
    </w:p>
    <w:p>
      <w:pPr>
        <w:pStyle w:val="FirstParagraph"/>
      </w:pPr>
      <w:r>
        <w:t xml:space="preserve">These operations are not occasional. They are ongoing runtime behaviors that must happen repeatedly to ensure content freshness and low-latency rendering for the next lock or unlock event.</w:t>
      </w:r>
    </w:p>
    <w:p>
      <w:pPr>
        <w:pStyle w:val="BodyText"/>
      </w:pPr>
      <w:r>
        <w:t xml:space="preserve">The contention problem arises because Android does not provide a dedicated cross-application governor that understands that two separate applications are competing for the same lock/unlock engagement moment. Each application independently attempts to:</w:t>
      </w:r>
    </w:p>
    <w:p>
      <w:pPr>
        <w:pStyle w:val="Compact"/>
        <w:numPr>
          <w:ilvl w:val="0"/>
          <w:numId w:val="1004"/>
        </w:numPr>
      </w:pPr>
      <w:r>
        <w:t xml:space="preserve">wake its process</w:t>
      </w:r>
    </w:p>
    <w:p>
      <w:pPr>
        <w:pStyle w:val="Compact"/>
        <w:numPr>
          <w:ilvl w:val="0"/>
          <w:numId w:val="1004"/>
        </w:numPr>
      </w:pPr>
      <w:r>
        <w:t xml:space="preserve">obtain CPU time</w:t>
      </w:r>
    </w:p>
    <w:p>
      <w:pPr>
        <w:pStyle w:val="Compact"/>
        <w:numPr>
          <w:ilvl w:val="0"/>
          <w:numId w:val="1004"/>
        </w:numPr>
      </w:pPr>
      <w:r>
        <w:t xml:space="preserve">use network bandwidth</w:t>
      </w:r>
    </w:p>
    <w:p>
      <w:pPr>
        <w:pStyle w:val="Compact"/>
        <w:numPr>
          <w:ilvl w:val="0"/>
          <w:numId w:val="1004"/>
        </w:numPr>
      </w:pPr>
      <w:r>
        <w:t xml:space="preserve">stage new content</w:t>
      </w:r>
    </w:p>
    <w:p>
      <w:pPr>
        <w:pStyle w:val="Compact"/>
        <w:numPr>
          <w:ilvl w:val="0"/>
          <w:numId w:val="1004"/>
        </w:numPr>
      </w:pPr>
      <w:r>
        <w:t xml:space="preserve">prepare for the next render opportunity</w:t>
      </w:r>
    </w:p>
    <w:p>
      <w:pPr>
        <w:pStyle w:val="FirstParagraph"/>
      </w:pPr>
      <w:r>
        <w:t xml:space="preserve">As a result, the applications compete for the same Android system resources, the same scheduling windows, and the same foreground-adjacent engagement opportunities.</w:t>
      </w:r>
    </w:p>
    <w:p>
      <w:pPr>
        <w:pStyle w:val="BodyText"/>
      </w:pPr>
      <w:r>
        <w:t xml:space="preserve">This leads to:</w:t>
      </w:r>
    </w:p>
    <w:p>
      <w:pPr>
        <w:pStyle w:val="Compact"/>
        <w:numPr>
          <w:ilvl w:val="0"/>
          <w:numId w:val="1005"/>
        </w:numPr>
      </w:pPr>
      <w:r>
        <w:t xml:space="preserve">excessive process churn</w:t>
      </w:r>
    </w:p>
    <w:p>
      <w:pPr>
        <w:pStyle w:val="Compact"/>
        <w:numPr>
          <w:ilvl w:val="0"/>
          <w:numId w:val="1005"/>
        </w:numPr>
      </w:pPr>
      <w:r>
        <w:t xml:space="preserve">elevated CPU scheduling contention</w:t>
      </w:r>
    </w:p>
    <w:p>
      <w:pPr>
        <w:pStyle w:val="Compact"/>
        <w:numPr>
          <w:ilvl w:val="0"/>
          <w:numId w:val="1005"/>
        </w:numPr>
      </w:pPr>
      <w:r>
        <w:t xml:space="preserve">redundant network retrieval</w:t>
      </w:r>
    </w:p>
    <w:p>
      <w:pPr>
        <w:pStyle w:val="Compact"/>
        <w:numPr>
          <w:ilvl w:val="0"/>
          <w:numId w:val="1005"/>
        </w:numPr>
      </w:pPr>
      <w:r>
        <w:t xml:space="preserve">high battery consumption</w:t>
      </w:r>
    </w:p>
    <w:p>
      <w:pPr>
        <w:pStyle w:val="Compact"/>
        <w:numPr>
          <w:ilvl w:val="0"/>
          <w:numId w:val="1005"/>
        </w:numPr>
      </w:pPr>
      <w:r>
        <w:t xml:space="preserve">repeated background task spikes</w:t>
      </w:r>
    </w:p>
    <w:p>
      <w:pPr>
        <w:pStyle w:val="Compact"/>
        <w:numPr>
          <w:ilvl w:val="0"/>
          <w:numId w:val="1005"/>
        </w:numPr>
      </w:pPr>
      <w:r>
        <w:t xml:space="preserve">staging collisions</w:t>
      </w:r>
    </w:p>
    <w:p>
      <w:pPr>
        <w:pStyle w:val="Compact"/>
        <w:numPr>
          <w:ilvl w:val="0"/>
          <w:numId w:val="1005"/>
        </w:numPr>
      </w:pPr>
      <w:r>
        <w:t xml:space="preserve">increased likelihood of Android throttling, deprioritization, or process kill behavior</w:t>
      </w:r>
    </w:p>
    <w:p>
      <w:pPr>
        <w:pStyle w:val="FirstParagraph"/>
      </w:pPr>
      <w:r>
        <w:t xml:space="preserve">In effect, two independent products intended to improve user engagement instead become uncoordinated resource competitors.</w:t>
      </w:r>
    </w:p>
    <w:p>
      <w:r>
        <w:pict>
          <v:rect style="width:0;height:1.5pt" o:hralign="center" o:hrstd="t" o:hr="t"/>
        </w:pict>
      </w:r>
    </w:p>
    <w:bookmarkEnd w:id="23"/>
    <w:bookmarkStart w:id="24" w:name="solution-overview"/>
    <w:p>
      <w:pPr>
        <w:pStyle w:val="Heading1"/>
      </w:pPr>
      <w:r>
        <w:t xml:space="preserve">Solution Overview</w:t>
      </w:r>
    </w:p>
    <w:p>
      <w:pPr>
        <w:pStyle w:val="FirstParagraph"/>
      </w:pPr>
      <w:r>
        <w:t xml:space="preserve">The Lock / Unlock Screen Inter-App Arbitration System introduces a cooperative on-device arbitration layer that coordinates multiple vendor applications participating in shared lock-screen and unlock-screen media workflows.</w:t>
      </w:r>
    </w:p>
    <w:p>
      <w:pPr>
        <w:pStyle w:val="BodyText"/>
      </w:pPr>
      <w:r>
        <w:t xml:space="preserve">Instead of allowing each application to independently compete for refresh windows, staging opportunities, and render rights, the arbitration service becomes the authoritative coordinator for these activities.</w:t>
      </w:r>
    </w:p>
    <w:p>
      <w:pPr>
        <w:pStyle w:val="BodyText"/>
      </w:pPr>
      <w:r>
        <w:t xml:space="preserve">The system explicitly separates three capabilities:</w:t>
      </w:r>
    </w:p>
    <w:p>
      <w:pPr>
        <w:pStyle w:val="Compact"/>
        <w:numPr>
          <w:ilvl w:val="0"/>
          <w:numId w:val="1006"/>
        </w:numPr>
      </w:pPr>
      <w:r>
        <w:t xml:space="preserve">refresh rights</w:t>
      </w:r>
    </w:p>
    <w:p>
      <w:pPr>
        <w:pStyle w:val="Compact"/>
        <w:numPr>
          <w:ilvl w:val="0"/>
          <w:numId w:val="1006"/>
        </w:numPr>
      </w:pPr>
      <w:r>
        <w:t xml:space="preserve">stage rights</w:t>
      </w:r>
    </w:p>
    <w:p>
      <w:pPr>
        <w:pStyle w:val="Compact"/>
        <w:numPr>
          <w:ilvl w:val="0"/>
          <w:numId w:val="1006"/>
        </w:numPr>
      </w:pPr>
      <w:r>
        <w:t xml:space="preserve">render rights</w:t>
      </w:r>
    </w:p>
    <w:p>
      <w:pPr>
        <w:pStyle w:val="FirstParagraph"/>
      </w:pPr>
      <w:r>
        <w:t xml:space="preserve">This separation is fundamental. A vendor may be permitted to refresh without immediately rendering. A vendor may stage content for future use without owning the visible surface. A vendor may render only when granted bounded render rights for a specific interaction window.</w:t>
      </w:r>
    </w:p>
    <w:p>
      <w:pPr>
        <w:pStyle w:val="BodyText"/>
      </w:pPr>
      <w:r>
        <w:t xml:space="preserve">By introducing explicit cooperation, the system ensures the vendor applications work cohesively rather than competitively.</w:t>
      </w:r>
    </w:p>
    <w:p>
      <w:r>
        <w:pict>
          <v:rect style="width:0;height:1.5pt" o:hralign="center" o:hrstd="t" o:hr="t"/>
        </w:pict>
      </w:r>
    </w:p>
    <w:bookmarkEnd w:id="24"/>
    <w:bookmarkStart w:id="29" w:name="business-use-cases"/>
    <w:p>
      <w:pPr>
        <w:pStyle w:val="Heading1"/>
      </w:pPr>
      <w:r>
        <w:t xml:space="preserve">Business Use Cases</w:t>
      </w:r>
    </w:p>
    <w:bookmarkStart w:id="25" w:name="carrier-lockunlock-monetization"/>
    <w:p>
      <w:pPr>
        <w:pStyle w:val="Heading2"/>
      </w:pPr>
      <w:r>
        <w:t xml:space="preserve">Carrier Lock/Unlock Monetization</w:t>
      </w:r>
    </w:p>
    <w:p>
      <w:pPr>
        <w:pStyle w:val="FirstParagraph"/>
      </w:pPr>
      <w:r>
        <w:t xml:space="preserve">A carrier may preload multiple partner experiences that want access to lock or unlock engagement surfaces. Examples include commerce modules, promotional panels, device upgrade flows, or content offers. The arbitration system allows multiple monetization partners to coexist without causing performance degradation.</w:t>
      </w:r>
    </w:p>
    <w:bookmarkEnd w:id="25"/>
    <w:bookmarkStart w:id="26" w:name="competing-vendor-lock-surface-products"/>
    <w:p>
      <w:pPr>
        <w:pStyle w:val="Heading2"/>
      </w:pPr>
      <w:r>
        <w:t xml:space="preserve">Competing Vendor Lock Surface Products</w:t>
      </w:r>
    </w:p>
    <w:p>
      <w:pPr>
        <w:pStyle w:val="FirstParagraph"/>
      </w:pPr>
      <w:r>
        <w:t xml:space="preserve">Two vendors may each provide products for lock-screen and unlock-screen functionality. Both require frequent media refresh and staging. The arbitration service provides a shared method for cooperative operation while preserving fairness and business controls.</w:t>
      </w:r>
    </w:p>
    <w:bookmarkEnd w:id="26"/>
    <w:bookmarkStart w:id="27" w:name="temporary-priority-campaigns"/>
    <w:p>
      <w:pPr>
        <w:pStyle w:val="Heading2"/>
      </w:pPr>
      <w:r>
        <w:t xml:space="preserve">Temporary Priority Campaigns</w:t>
      </w:r>
    </w:p>
    <w:p>
      <w:pPr>
        <w:pStyle w:val="FirstParagraph"/>
      </w:pPr>
      <w:r>
        <w:t xml:space="preserve">A platform operator may temporarily favor one vendor during a marketing event, product launch, or strategic promotion. Server-delivered policy can temporarily increase refresh, staging, or render priority and then automatically return to baseline behavior.</w:t>
      </w:r>
    </w:p>
    <w:bookmarkEnd w:id="27"/>
    <w:bookmarkStart w:id="28" w:name="oem-carrier-partner-coexistence"/>
    <w:p>
      <w:pPr>
        <w:pStyle w:val="Heading2"/>
      </w:pPr>
      <w:r>
        <w:t xml:space="preserve">OEM / Carrier / Partner Coexistence</w:t>
      </w:r>
    </w:p>
    <w:p>
      <w:pPr>
        <w:pStyle w:val="FirstParagraph"/>
      </w:pPr>
      <w:r>
        <w:t xml:space="preserve">OEM features, carrier features, and third-party partner surfaces may all need to coexist. The arbitration service provides a normalized control plane that prevents any one party from overwhelming the device.</w:t>
      </w:r>
    </w:p>
    <w:p>
      <w:r>
        <w:pict>
          <v:rect style="width:0;height:1.5pt" o:hralign="center" o:hrstd="t" o:hr="t"/>
        </w:pict>
      </w:r>
    </w:p>
    <w:bookmarkEnd w:id="28"/>
    <w:bookmarkEnd w:id="29"/>
    <w:bookmarkStart w:id="30" w:name="core-design-goals"/>
    <w:p>
      <w:pPr>
        <w:pStyle w:val="Heading1"/>
      </w:pPr>
      <w:r>
        <w:t xml:space="preserve">Core Design Goals</w:t>
      </w:r>
    </w:p>
    <w:p>
      <w:pPr>
        <w:pStyle w:val="Compact"/>
        <w:numPr>
          <w:ilvl w:val="0"/>
          <w:numId w:val="1007"/>
        </w:numPr>
      </w:pPr>
      <w:r>
        <w:t xml:space="preserve">deterministic resource ownership</w:t>
      </w:r>
    </w:p>
    <w:p>
      <w:pPr>
        <w:pStyle w:val="Compact"/>
        <w:numPr>
          <w:ilvl w:val="0"/>
          <w:numId w:val="1007"/>
        </w:numPr>
      </w:pPr>
      <w:r>
        <w:t xml:space="preserve">cooperative vendor scheduling</w:t>
      </w:r>
    </w:p>
    <w:p>
      <w:pPr>
        <w:pStyle w:val="Compact"/>
        <w:numPr>
          <w:ilvl w:val="0"/>
          <w:numId w:val="1007"/>
        </w:numPr>
      </w:pPr>
      <w:r>
        <w:t xml:space="preserve">bounded refresh behavior</w:t>
      </w:r>
    </w:p>
    <w:p>
      <w:pPr>
        <w:pStyle w:val="Compact"/>
        <w:numPr>
          <w:ilvl w:val="0"/>
          <w:numId w:val="1007"/>
        </w:numPr>
      </w:pPr>
      <w:r>
        <w:t xml:space="preserve">low-latency staged content for upcoming lock/unlock events</w:t>
      </w:r>
    </w:p>
    <w:p>
      <w:pPr>
        <w:pStyle w:val="Compact"/>
        <w:numPr>
          <w:ilvl w:val="0"/>
          <w:numId w:val="1007"/>
        </w:numPr>
      </w:pPr>
      <w:r>
        <w:t xml:space="preserve">Android resource-management awareness</w:t>
      </w:r>
    </w:p>
    <w:p>
      <w:pPr>
        <w:pStyle w:val="Compact"/>
        <w:numPr>
          <w:ilvl w:val="0"/>
          <w:numId w:val="1007"/>
        </w:numPr>
      </w:pPr>
      <w:r>
        <w:t xml:space="preserve">secure inter-app signaling and trust enforcement</w:t>
      </w:r>
    </w:p>
    <w:p>
      <w:pPr>
        <w:pStyle w:val="Compact"/>
        <w:numPr>
          <w:ilvl w:val="0"/>
          <w:numId w:val="1007"/>
        </w:numPr>
      </w:pPr>
      <w:r>
        <w:t xml:space="preserve">server-controlled business policy flexibility</w:t>
      </w:r>
    </w:p>
    <w:p>
      <w:pPr>
        <w:pStyle w:val="Compact"/>
        <w:numPr>
          <w:ilvl w:val="0"/>
          <w:numId w:val="1007"/>
        </w:numPr>
      </w:pPr>
      <w:r>
        <w:t xml:space="preserve">full telemetry and auditability</w:t>
      </w:r>
    </w:p>
    <w:p>
      <w:r>
        <w:pict>
          <v:rect style="width:0;height:1.5pt" o:hralign="center" o:hrstd="t" o:hr="t"/>
        </w:pict>
      </w:r>
    </w:p>
    <w:bookmarkEnd w:id="30"/>
    <w:bookmarkStart w:id="31" w:name="system-boundary"/>
    <w:p>
      <w:pPr>
        <w:pStyle w:val="Heading1"/>
      </w:pPr>
      <w:r>
        <w:t xml:space="preserve">System Boundary</w:t>
      </w:r>
    </w:p>
    <w:p>
      <w:pPr>
        <w:pStyle w:val="FirstParagraph"/>
      </w:pPr>
      <w:r>
        <w:t xml:space="preserve">This system governs lock-screen and unlock-screen media arbitration on device. It does not replace Android’s process scheduler, Binder security, or network stack. Instead, it introduces a domain-specific arbitration layer for vendor applications participating in shared engagement workflows.</w:t>
      </w:r>
    </w:p>
    <w:p>
      <w:pPr>
        <w:pStyle w:val="BodyText"/>
      </w:pPr>
      <w:r>
        <w:t xml:space="preserve">The arbitration layer sits logically between:</w:t>
      </w:r>
    </w:p>
    <w:p>
      <w:pPr>
        <w:pStyle w:val="Compact"/>
        <w:numPr>
          <w:ilvl w:val="0"/>
          <w:numId w:val="1008"/>
        </w:numPr>
      </w:pPr>
      <w:r>
        <w:t xml:space="preserve">participating vendor applications</w:t>
      </w:r>
    </w:p>
    <w:p>
      <w:pPr>
        <w:pStyle w:val="Compact"/>
        <w:numPr>
          <w:ilvl w:val="0"/>
          <w:numId w:val="1008"/>
        </w:numPr>
      </w:pPr>
      <w:r>
        <w:t xml:space="preserve">Android runtime and process scheduling environment</w:t>
      </w:r>
    </w:p>
    <w:p>
      <w:pPr>
        <w:pStyle w:val="Compact"/>
        <w:numPr>
          <w:ilvl w:val="0"/>
          <w:numId w:val="1008"/>
        </w:numPr>
      </w:pPr>
      <w:r>
        <w:t xml:space="preserve">server-delivered policy and business controls</w:t>
      </w:r>
    </w:p>
    <w:p>
      <w:r>
        <w:pict>
          <v:rect style="width:0;height:1.5pt" o:hralign="center" o:hrstd="t" o:hr="t"/>
        </w:pict>
      </w:r>
    </w:p>
    <w:bookmarkEnd w:id="31"/>
    <w:bookmarkStart w:id="36" w:name="high-level-component-model"/>
    <w:p>
      <w:pPr>
        <w:pStyle w:val="Heading1"/>
      </w:pPr>
      <w:r>
        <w:t xml:space="preserve">High-Level Component Model</w:t>
      </w:r>
    </w:p>
    <w:bookmarkStart w:id="32" w:name="arbitration-service"/>
    <w:p>
      <w:pPr>
        <w:pStyle w:val="Heading2"/>
      </w:pPr>
      <w:r>
        <w:t xml:space="preserve">Arbitration Service</w:t>
      </w:r>
    </w:p>
    <w:p>
      <w:pPr>
        <w:pStyle w:val="FirstParagraph"/>
      </w:pPr>
      <w:r>
        <w:t xml:space="preserve">Privileged or system-level Android service responsible for:</w:t>
      </w:r>
    </w:p>
    <w:p>
      <w:pPr>
        <w:pStyle w:val="Compact"/>
        <w:numPr>
          <w:ilvl w:val="0"/>
          <w:numId w:val="1009"/>
        </w:numPr>
      </w:pPr>
      <w:r>
        <w:t xml:space="preserve">vendor registration</w:t>
      </w:r>
    </w:p>
    <w:p>
      <w:pPr>
        <w:pStyle w:val="Compact"/>
        <w:numPr>
          <w:ilvl w:val="0"/>
          <w:numId w:val="1009"/>
        </w:numPr>
      </w:pPr>
      <w:r>
        <w:t xml:space="preserve">runtime state tracking</w:t>
      </w:r>
    </w:p>
    <w:p>
      <w:pPr>
        <w:pStyle w:val="Compact"/>
        <w:numPr>
          <w:ilvl w:val="0"/>
          <w:numId w:val="1009"/>
        </w:numPr>
      </w:pPr>
      <w:r>
        <w:t xml:space="preserve">score computation</w:t>
      </w:r>
    </w:p>
    <w:p>
      <w:pPr>
        <w:pStyle w:val="Compact"/>
        <w:numPr>
          <w:ilvl w:val="0"/>
          <w:numId w:val="1009"/>
        </w:numPr>
      </w:pPr>
      <w:r>
        <w:t xml:space="preserve">capability token issuance</w:t>
      </w:r>
    </w:p>
    <w:p>
      <w:pPr>
        <w:pStyle w:val="Compact"/>
        <w:numPr>
          <w:ilvl w:val="0"/>
          <w:numId w:val="1009"/>
        </w:numPr>
      </w:pPr>
      <w:r>
        <w:t xml:space="preserve">shared resource state control</w:t>
      </w:r>
    </w:p>
    <w:p>
      <w:pPr>
        <w:pStyle w:val="Compact"/>
        <w:numPr>
          <w:ilvl w:val="0"/>
          <w:numId w:val="1009"/>
        </w:numPr>
      </w:pPr>
      <w:r>
        <w:t xml:space="preserve">priority ownership coordination</w:t>
      </w:r>
    </w:p>
    <w:p>
      <w:pPr>
        <w:pStyle w:val="Compact"/>
        <w:numPr>
          <w:ilvl w:val="0"/>
          <w:numId w:val="1009"/>
        </w:numPr>
      </w:pPr>
      <w:r>
        <w:t xml:space="preserve">timeout recovery</w:t>
      </w:r>
    </w:p>
    <w:p>
      <w:pPr>
        <w:pStyle w:val="Compact"/>
        <w:numPr>
          <w:ilvl w:val="0"/>
          <w:numId w:val="1009"/>
        </w:numPr>
      </w:pPr>
      <w:r>
        <w:t xml:space="preserve">telemetry emission</w:t>
      </w:r>
    </w:p>
    <w:bookmarkEnd w:id="32"/>
    <w:bookmarkStart w:id="33" w:name="vendor-adapter-sdk-layer"/>
    <w:p>
      <w:pPr>
        <w:pStyle w:val="Heading2"/>
      </w:pPr>
      <w:r>
        <w:t xml:space="preserve">Vendor Adapter / SDK Layer</w:t>
      </w:r>
    </w:p>
    <w:p>
      <w:pPr>
        <w:pStyle w:val="FirstParagraph"/>
      </w:pPr>
      <w:r>
        <w:t xml:space="preserve">A lightweight integration layer embedded into each participating vendor application that standardizes the request, callback, telemetry, and release behavior needed for arbitration.</w:t>
      </w:r>
    </w:p>
    <w:bookmarkEnd w:id="33"/>
    <w:bookmarkStart w:id="34" w:name="policy-engine"/>
    <w:p>
      <w:pPr>
        <w:pStyle w:val="Heading2"/>
      </w:pPr>
      <w:r>
        <w:t xml:space="preserve">Policy Engine</w:t>
      </w:r>
    </w:p>
    <w:p>
      <w:pPr>
        <w:pStyle w:val="FirstParagraph"/>
      </w:pPr>
      <w:r>
        <w:t xml:space="preserve">Evaluates server-delivered rules controlling:</w:t>
      </w:r>
    </w:p>
    <w:p>
      <w:pPr>
        <w:pStyle w:val="Compact"/>
        <w:numPr>
          <w:ilvl w:val="0"/>
          <w:numId w:val="1010"/>
        </w:numPr>
      </w:pPr>
      <w:r>
        <w:t xml:space="preserve">vendor weights</w:t>
      </w:r>
    </w:p>
    <w:p>
      <w:pPr>
        <w:pStyle w:val="Compact"/>
        <w:numPr>
          <w:ilvl w:val="0"/>
          <w:numId w:val="1010"/>
        </w:numPr>
      </w:pPr>
      <w:r>
        <w:t xml:space="preserve">refresh budgets</w:t>
      </w:r>
    </w:p>
    <w:p>
      <w:pPr>
        <w:pStyle w:val="Compact"/>
        <w:numPr>
          <w:ilvl w:val="0"/>
          <w:numId w:val="1010"/>
        </w:numPr>
      </w:pPr>
      <w:r>
        <w:t xml:space="preserve">resource limits</w:t>
      </w:r>
    </w:p>
    <w:p>
      <w:pPr>
        <w:pStyle w:val="Compact"/>
        <w:numPr>
          <w:ilvl w:val="0"/>
          <w:numId w:val="1010"/>
        </w:numPr>
      </w:pPr>
      <w:r>
        <w:t xml:space="preserve">override windows</w:t>
      </w:r>
    </w:p>
    <w:p>
      <w:pPr>
        <w:pStyle w:val="Compact"/>
        <w:numPr>
          <w:ilvl w:val="0"/>
          <w:numId w:val="1010"/>
        </w:numPr>
      </w:pPr>
      <w:r>
        <w:t xml:space="preserve">trust settings</w:t>
      </w:r>
    </w:p>
    <w:p>
      <w:pPr>
        <w:pStyle w:val="Compact"/>
        <w:numPr>
          <w:ilvl w:val="0"/>
          <w:numId w:val="1010"/>
        </w:numPr>
      </w:pPr>
      <w:r>
        <w:t xml:space="preserve">telemetry policies</w:t>
      </w:r>
    </w:p>
    <w:bookmarkEnd w:id="34"/>
    <w:bookmarkStart w:id="35" w:name="telemetry-and-diagnostics-subsystem"/>
    <w:p>
      <w:pPr>
        <w:pStyle w:val="Heading2"/>
      </w:pPr>
      <w:r>
        <w:t xml:space="preserve">Telemetry and Diagnostics Subsystem</w:t>
      </w:r>
    </w:p>
    <w:p>
      <w:pPr>
        <w:pStyle w:val="FirstParagraph"/>
      </w:pPr>
      <w:r>
        <w:t xml:space="preserve">Collects structured operational data allowing platform operators to inspect:</w:t>
      </w:r>
    </w:p>
    <w:p>
      <w:pPr>
        <w:pStyle w:val="Compact"/>
        <w:numPr>
          <w:ilvl w:val="0"/>
          <w:numId w:val="1011"/>
        </w:numPr>
      </w:pPr>
      <w:r>
        <w:t xml:space="preserve">fairness</w:t>
      </w:r>
    </w:p>
    <w:p>
      <w:pPr>
        <w:pStyle w:val="Compact"/>
        <w:numPr>
          <w:ilvl w:val="0"/>
          <w:numId w:val="1011"/>
        </w:numPr>
      </w:pPr>
      <w:r>
        <w:t xml:space="preserve">contention</w:t>
      </w:r>
    </w:p>
    <w:p>
      <w:pPr>
        <w:pStyle w:val="Compact"/>
        <w:numPr>
          <w:ilvl w:val="0"/>
          <w:numId w:val="1011"/>
        </w:numPr>
      </w:pPr>
      <w:r>
        <w:t xml:space="preserve">refresh storms</w:t>
      </w:r>
    </w:p>
    <w:p>
      <w:pPr>
        <w:pStyle w:val="Compact"/>
        <w:numPr>
          <w:ilvl w:val="0"/>
          <w:numId w:val="1011"/>
        </w:numPr>
      </w:pPr>
      <w:r>
        <w:t xml:space="preserve">render latency</w:t>
      </w:r>
    </w:p>
    <w:p>
      <w:pPr>
        <w:pStyle w:val="Compact"/>
        <w:numPr>
          <w:ilvl w:val="0"/>
          <w:numId w:val="1011"/>
        </w:numPr>
      </w:pPr>
      <w:r>
        <w:t xml:space="preserve">policy effectiveness</w:t>
      </w:r>
    </w:p>
    <w:p>
      <w:pPr>
        <w:pStyle w:val="Compact"/>
        <w:numPr>
          <w:ilvl w:val="0"/>
          <w:numId w:val="1011"/>
        </w:numPr>
      </w:pPr>
      <w:r>
        <w:t xml:space="preserve">resource guard activity</w:t>
      </w:r>
    </w:p>
    <w:p>
      <w:r>
        <w:pict>
          <v:rect style="width:0;height:1.5pt" o:hralign="center" o:hrstd="t" o:hr="t"/>
        </w:pict>
      </w:r>
    </w:p>
    <w:bookmarkEnd w:id="35"/>
    <w:bookmarkEnd w:id="36"/>
    <w:bookmarkStart w:id="40" w:name="refresh-stage-render-functional-model"/>
    <w:p>
      <w:pPr>
        <w:pStyle w:val="Heading1"/>
      </w:pPr>
      <w:r>
        <w:t xml:space="preserve">Refresh / Stage / Render Functional Model</w:t>
      </w:r>
    </w:p>
    <w:bookmarkStart w:id="37" w:name="refresh"/>
    <w:p>
      <w:pPr>
        <w:pStyle w:val="Heading2"/>
      </w:pPr>
      <w:r>
        <w:t xml:space="preserve">Refresh</w:t>
      </w:r>
    </w:p>
    <w:p>
      <w:pPr>
        <w:pStyle w:val="FirstParagraph"/>
      </w:pPr>
      <w:r>
        <w:t xml:space="preserve">Refresh refers to retrieving or updating media payloads or metadata from remote or local sources so the application has current content available.</w:t>
      </w:r>
    </w:p>
    <w:bookmarkEnd w:id="37"/>
    <w:bookmarkStart w:id="38" w:name="stage"/>
    <w:p>
      <w:pPr>
        <w:pStyle w:val="Heading2"/>
      </w:pPr>
      <w:r>
        <w:t xml:space="preserve">Stage</w:t>
      </w:r>
    </w:p>
    <w:p>
      <w:pPr>
        <w:pStyle w:val="FirstParagraph"/>
      </w:pPr>
      <w:r>
        <w:t xml:space="preserve">Stage refers to preparing content in a local, render-ready form so that when the next lock/unlock event occurs, content can be displayed immediately without expensive network or processing delays.</w:t>
      </w:r>
    </w:p>
    <w:bookmarkEnd w:id="38"/>
    <w:bookmarkStart w:id="39" w:name="render"/>
    <w:p>
      <w:pPr>
        <w:pStyle w:val="Heading2"/>
      </w:pPr>
      <w:r>
        <w:t xml:space="preserve">Render</w:t>
      </w:r>
    </w:p>
    <w:p>
      <w:pPr>
        <w:pStyle w:val="FirstParagraph"/>
      </w:pPr>
      <w:r>
        <w:t xml:space="preserve">Render refers to visible occupancy of the lock or unlock engagement surface.</w:t>
      </w:r>
    </w:p>
    <w:p>
      <w:pPr>
        <w:pStyle w:val="BodyText"/>
      </w:pPr>
      <w:r>
        <w:t xml:space="preserve">The architecture treats these as separate rights because combining them leads to avoidable contention and latency.</w:t>
      </w:r>
    </w:p>
    <w:p>
      <w:r>
        <w:pict>
          <v:rect style="width:0;height:1.5pt" o:hralign="center" o:hrstd="t" o:hr="t"/>
        </w:pict>
      </w:r>
    </w:p>
    <w:bookmarkEnd w:id="39"/>
    <w:bookmarkEnd w:id="40"/>
    <w:bookmarkStart w:id="41" w:name="cooperation-model-between-two-vendors"/>
    <w:p>
      <w:pPr>
        <w:pStyle w:val="Heading1"/>
      </w:pPr>
      <w:r>
        <w:t xml:space="preserve">Cooperation Model Between Two Vendors</w:t>
      </w:r>
    </w:p>
    <w:p>
      <w:pPr>
        <w:pStyle w:val="FirstParagraph"/>
      </w:pPr>
      <w:r>
        <w:t xml:space="preserve">The architecture is specifically intended to support two or more vendor applications that would otherwise compete for the same lock/unlock preparation and render windows.</w:t>
      </w:r>
    </w:p>
    <w:p>
      <w:pPr>
        <w:pStyle w:val="BodyText"/>
      </w:pPr>
      <w:r>
        <w:t xml:space="preserve">Each participating vendor must:</w:t>
      </w:r>
    </w:p>
    <w:p>
      <w:pPr>
        <w:pStyle w:val="Compact"/>
        <w:numPr>
          <w:ilvl w:val="0"/>
          <w:numId w:val="1012"/>
        </w:numPr>
      </w:pPr>
      <w:r>
        <w:t xml:space="preserve">register with the arbitration service</w:t>
      </w:r>
    </w:p>
    <w:p>
      <w:pPr>
        <w:pStyle w:val="Compact"/>
        <w:numPr>
          <w:ilvl w:val="0"/>
          <w:numId w:val="1012"/>
        </w:numPr>
      </w:pPr>
      <w:r>
        <w:t xml:space="preserve">request tokens for refresh, stage, and render operations</w:t>
      </w:r>
    </w:p>
    <w:p>
      <w:pPr>
        <w:pStyle w:val="Compact"/>
        <w:numPr>
          <w:ilvl w:val="0"/>
          <w:numId w:val="1012"/>
        </w:numPr>
      </w:pPr>
      <w:r>
        <w:t xml:space="preserve">broadcast priority-related intent through the sanctioned IPC protocol</w:t>
      </w:r>
    </w:p>
    <w:p>
      <w:pPr>
        <w:pStyle w:val="Compact"/>
        <w:numPr>
          <w:ilvl w:val="0"/>
          <w:numId w:val="1012"/>
        </w:numPr>
      </w:pPr>
      <w:r>
        <w:t xml:space="preserve">obey release and timeout semantics</w:t>
      </w:r>
    </w:p>
    <w:p>
      <w:pPr>
        <w:pStyle w:val="Compact"/>
        <w:numPr>
          <w:ilvl w:val="0"/>
          <w:numId w:val="1012"/>
        </w:numPr>
      </w:pPr>
      <w:r>
        <w:t xml:space="preserve">provide telemetry and diagnostics</w:t>
      </w:r>
    </w:p>
    <w:p>
      <w:pPr>
        <w:pStyle w:val="Compact"/>
        <w:numPr>
          <w:ilvl w:val="0"/>
          <w:numId w:val="1012"/>
        </w:numPr>
      </w:pPr>
      <w:r>
        <w:t xml:space="preserve">respect resource budgets and backoff rules</w:t>
      </w:r>
    </w:p>
    <w:p>
      <w:pPr>
        <w:pStyle w:val="FirstParagraph"/>
      </w:pPr>
      <w:r>
        <w:t xml:space="preserve">This cooperative model allows both products to remain functional while reducing system stress.</w:t>
      </w:r>
    </w:p>
    <w:p>
      <w:r>
        <w:pict>
          <v:rect style="width:0;height:1.5pt" o:hralign="center" o:hrstd="t" o:hr="t"/>
        </w:pict>
      </w:r>
    </w:p>
    <w:bookmarkEnd w:id="41"/>
    <w:bookmarkStart w:id="42" w:name="security-and-trust-overview"/>
    <w:p>
      <w:pPr>
        <w:pStyle w:val="Heading1"/>
      </w:pPr>
      <w:r>
        <w:t xml:space="preserve">Security and Trust Overview</w:t>
      </w:r>
    </w:p>
    <w:p>
      <w:pPr>
        <w:pStyle w:val="FirstParagraph"/>
      </w:pPr>
      <w:r>
        <w:t xml:space="preserve">Only trusted and authorized participants may join the arbitration ecosystem. The architecture assumes:</w:t>
      </w:r>
    </w:p>
    <w:p>
      <w:pPr>
        <w:pStyle w:val="Compact"/>
        <w:numPr>
          <w:ilvl w:val="0"/>
          <w:numId w:val="1013"/>
        </w:numPr>
      </w:pPr>
      <w:r>
        <w:t xml:space="preserve">signature-level trust validation</w:t>
      </w:r>
    </w:p>
    <w:p>
      <w:pPr>
        <w:pStyle w:val="Compact"/>
        <w:numPr>
          <w:ilvl w:val="0"/>
          <w:numId w:val="1013"/>
        </w:numPr>
      </w:pPr>
      <w:r>
        <w:t xml:space="preserve">package and UID verification</w:t>
      </w:r>
    </w:p>
    <w:p>
      <w:pPr>
        <w:pStyle w:val="Compact"/>
        <w:numPr>
          <w:ilvl w:val="0"/>
          <w:numId w:val="1013"/>
        </w:numPr>
      </w:pPr>
      <w:r>
        <w:t xml:space="preserve">token integrity enforcement</w:t>
      </w:r>
    </w:p>
    <w:p>
      <w:pPr>
        <w:pStyle w:val="Compact"/>
        <w:numPr>
          <w:ilvl w:val="0"/>
          <w:numId w:val="1013"/>
        </w:numPr>
      </w:pPr>
      <w:r>
        <w:t xml:space="preserve">anti-replay controls</w:t>
      </w:r>
    </w:p>
    <w:p>
      <w:pPr>
        <w:pStyle w:val="Compact"/>
        <w:numPr>
          <w:ilvl w:val="0"/>
          <w:numId w:val="1013"/>
        </w:numPr>
      </w:pPr>
      <w:r>
        <w:t xml:space="preserve">bounded validity windows</w:t>
      </w:r>
    </w:p>
    <w:p>
      <w:pPr>
        <w:pStyle w:val="Compact"/>
        <w:numPr>
          <w:ilvl w:val="0"/>
          <w:numId w:val="1013"/>
        </w:numPr>
      </w:pPr>
      <w:r>
        <w:t xml:space="preserve">failure-safe revocation</w:t>
      </w:r>
    </w:p>
    <w:p>
      <w:pPr>
        <w:pStyle w:val="FirstParagraph"/>
      </w:pPr>
      <w:r>
        <w:t xml:space="preserve">Security details are expanded in later volumes.</w:t>
      </w:r>
    </w:p>
    <w:p>
      <w:r>
        <w:pict>
          <v:rect style="width:0;height:1.5pt" o:hralign="center" o:hrstd="t" o:hr="t"/>
        </w:pict>
      </w:r>
    </w:p>
    <w:bookmarkEnd w:id="42"/>
    <w:bookmarkStart w:id="43" w:name="X9060b9688d15d838cb43be750e93da9d5d75f11"/>
    <w:p>
      <w:pPr>
        <w:pStyle w:val="Heading1"/>
      </w:pPr>
      <w:r>
        <w:t xml:space="preserve">Telemetry and Operational Visibility Overview</w:t>
      </w:r>
    </w:p>
    <w:p>
      <w:pPr>
        <w:pStyle w:val="FirstParagraph"/>
      </w:pPr>
      <w:r>
        <w:t xml:space="preserve">The system must provide enough telemetry to determine whether vendors are:</w:t>
      </w:r>
    </w:p>
    <w:p>
      <w:pPr>
        <w:pStyle w:val="Compact"/>
        <w:numPr>
          <w:ilvl w:val="0"/>
          <w:numId w:val="1014"/>
        </w:numPr>
      </w:pPr>
      <w:r>
        <w:t xml:space="preserve">behaving correctly</w:t>
      </w:r>
    </w:p>
    <w:p>
      <w:pPr>
        <w:pStyle w:val="Compact"/>
        <w:numPr>
          <w:ilvl w:val="0"/>
          <w:numId w:val="1014"/>
        </w:numPr>
      </w:pPr>
      <w:r>
        <w:t xml:space="preserve">over-consuming resources</w:t>
      </w:r>
    </w:p>
    <w:p>
      <w:pPr>
        <w:pStyle w:val="Compact"/>
        <w:numPr>
          <w:ilvl w:val="0"/>
          <w:numId w:val="1014"/>
        </w:numPr>
      </w:pPr>
      <w:r>
        <w:t xml:space="preserve">being starved</w:t>
      </w:r>
    </w:p>
    <w:p>
      <w:pPr>
        <w:pStyle w:val="Compact"/>
        <w:numPr>
          <w:ilvl w:val="0"/>
          <w:numId w:val="1014"/>
        </w:numPr>
      </w:pPr>
      <w:r>
        <w:t xml:space="preserve">ignoring release rules</w:t>
      </w:r>
    </w:p>
    <w:p>
      <w:pPr>
        <w:pStyle w:val="Compact"/>
        <w:numPr>
          <w:ilvl w:val="0"/>
          <w:numId w:val="1014"/>
        </w:numPr>
      </w:pPr>
      <w:r>
        <w:t xml:space="preserve">triggering refresh storms</w:t>
      </w:r>
    </w:p>
    <w:p>
      <w:pPr>
        <w:pStyle w:val="Compact"/>
        <w:numPr>
          <w:ilvl w:val="0"/>
          <w:numId w:val="1014"/>
        </w:numPr>
      </w:pPr>
      <w:r>
        <w:t xml:space="preserve">benefiting from policy overrides</w:t>
      </w:r>
    </w:p>
    <w:p>
      <w:pPr>
        <w:pStyle w:val="FirstParagraph"/>
      </w:pPr>
      <w:r>
        <w:t xml:space="preserve">Observability is a core part of the design, not an optional add-on.</w:t>
      </w:r>
    </w:p>
    <w:p>
      <w:r>
        <w:pict>
          <v:rect style="width:0;height:1.5pt" o:hralign="center" o:hrstd="t" o:hr="t"/>
        </w:pict>
      </w:r>
    </w:p>
    <w:bookmarkEnd w:id="43"/>
    <w:bookmarkStart w:id="44" w:name="volume-relationship"/>
    <w:p>
      <w:pPr>
        <w:pStyle w:val="Heading1"/>
      </w:pPr>
      <w:r>
        <w:t xml:space="preserve">Volume Relationship</w:t>
      </w:r>
    </w:p>
    <w:p>
      <w:pPr>
        <w:pStyle w:val="FirstParagraph"/>
      </w:pPr>
      <w:r>
        <w:t xml:space="preserve">This Volume 1 focuses on architecture and platform framing.</w:t>
      </w:r>
    </w:p>
    <w:p>
      <w:pPr>
        <w:pStyle w:val="BodyText"/>
      </w:pPr>
      <w:r>
        <w:t xml:space="preserve">Companion volumes should contain:</w:t>
      </w:r>
    </w:p>
    <w:p>
      <w:pPr>
        <w:pStyle w:val="Compact"/>
        <w:numPr>
          <w:ilvl w:val="0"/>
          <w:numId w:val="1015"/>
        </w:numPr>
      </w:pPr>
      <w:r>
        <w:t xml:space="preserve">Volume 2 — Arbitration Algorithms and Runtime Behavior</w:t>
      </w:r>
    </w:p>
    <w:p>
      <w:pPr>
        <w:pStyle w:val="Compact"/>
        <w:numPr>
          <w:ilvl w:val="0"/>
          <w:numId w:val="1015"/>
        </w:numPr>
      </w:pPr>
      <w:r>
        <w:t xml:space="preserve">Volume 3 — IPC, State Machines, Integration, Security, and Operations</w:t>
      </w:r>
    </w:p>
    <w:p>
      <w:pPr>
        <w:pStyle w:val="FirstParagraph"/>
      </w:pPr>
      <w:r>
        <w:t xml:space="preserve">This split is intentional so the overall design specification remains editable, reviewable, and suitable for both engineering and patent work.</w:t>
      </w:r>
    </w:p>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2026-03-12T09:14:59Z</dcterms:created>
  <dcterms:modified xsi:type="dcterms:W3CDTF">2026-03-12T09:14:59Z</dcterms:modified>
</cp:coreProperties>
</file>

<file path=docProps/custom.xml><?xml version="1.0" encoding="utf-8"?>
<Properties xmlns="http://schemas.openxmlformats.org/officeDocument/2006/custom-properties" xmlns:vt="http://schemas.openxmlformats.org/officeDocument/2006/docPropsVTypes"/>
</file>