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Lock / Unlock Screen Inter‑App Arbitration</w:t>
        <w:br/>
        <w:t>Lifecycle‑Aware Cooperative Inter‑App Arbitration Algorithm</w:t>
        <w:br/>
        <w:t>Patent Development Notes</w:t>
      </w:r>
    </w:p>
    <w:p>
      <w:pPr>
        <w:pStyle w:val="Heading1"/>
      </w:pPr>
      <w:r>
        <w:t>Overview</w:t>
      </w:r>
    </w:p>
    <w:p>
      <w:r>
        <w:t>This document describes a server‑configured, on‑device arbitration framework designed to coordinate multiple vendor applications that attempt to control lock‑screen and unlock‑transition surfaces on Android devices.</w:t>
      </w:r>
    </w:p>
    <w:p>
      <w:r>
        <w:t>The invention introduces a cooperative arbitration model in which vendors do not compete directly for UI surfaces. Instead, they participate in a governed arbitration system that allocates readiness, refresh, staging, and rendering rights under a shared algorithm and policy framework.</w:t>
      </w:r>
    </w:p>
    <w:p>
      <w:r>
        <w:t>The system ensures that both vendors can remain prepared with fresh content while avoiding resource conflicts, UI flicker, refresh storms, and Android process throttling or termination.</w:t>
      </w:r>
    </w:p>
    <w:p>
      <w:pPr>
        <w:pStyle w:val="Heading1"/>
      </w:pPr>
      <w:r>
        <w:t>Core Architectural Model</w:t>
      </w:r>
    </w:p>
    <w:p>
      <w:r>
        <w:t>The arbitration framework operates across four coordinated system planes:</w:t>
      </w:r>
    </w:p>
    <w:p>
      <w:r>
        <w:t>1. Policy Control Plane</w:t>
        <w:br/>
        <w:t>A server‑defined policy system dynamically configures vendor priority weights, refresh budgets, readiness quotas, render preferences, override windows, fairness rules, telemetry requirements, and device resource thresholds.</w:t>
      </w:r>
    </w:p>
    <w:p>
      <w:r>
        <w:t>2. Vendor Coordination Plane</w:t>
        <w:br/>
        <w:t>Participating vendor applications communicate through a structured arbitration protocol. Vendors must broadcast their intent to request priority, acquisition of priority, completion of tasks, and release of resources.</w:t>
      </w:r>
    </w:p>
    <w:p>
      <w:r>
        <w:t>3. Readiness Plane</w:t>
        <w:br/>
        <w:t>Controls which vendors are permitted to fetch content, refresh assets, stage payloads, maintain caches, or perform priority lifecycle updates prior to device lock/unlock triggers.</w:t>
      </w:r>
    </w:p>
    <w:p>
      <w:r>
        <w:t>4. Render Plane</w:t>
        <w:br/>
        <w:t>Determines which vendor may occupy the visible lock or unlock surface once Android invokes the system trigger.</w:t>
      </w:r>
    </w:p>
    <w:p>
      <w:pPr>
        <w:pStyle w:val="Heading1"/>
      </w:pPr>
      <w:r>
        <w:t>Key Novel Mechanisms</w:t>
      </w:r>
    </w:p>
    <w:p>
      <w:r>
        <w:t>Separation of Readiness Rights and Render Rights</w:t>
        <w:br/>
        <w:t>The arbitration engine distinguishes between the ability to prepare content and the ability to display content. Vendors may be granted readiness rights without render rights, ensuring that multiple vendors remain prepared while preventing simultaneous surface control.</w:t>
      </w:r>
    </w:p>
    <w:p>
      <w:r>
        <w:t>Multi‑Clock Arbitration Model</w:t>
        <w:br/>
        <w:t>The algorithm evaluates refresh and rendering decisions across multiple timing domains:</w:t>
        <w:br/>
        <w:t>- Temporal refresh intervals</w:t>
        <w:br/>
        <w:t>- User interaction triggers</w:t>
        <w:br/>
        <w:t>- Advertisement lifecycle conditions</w:t>
        <w:br/>
        <w:t>- Vendor coordination and priority state</w:t>
      </w:r>
    </w:p>
    <w:p>
      <w:r>
        <w:t>Secure Inter‑Vendor Coordination Protocol</w:t>
        <w:br/>
        <w:t>Each vendor must broadcast operational states including priority requests, refresh activity, completion signals, and resource release notifications through authenticated communication channels.</w:t>
      </w:r>
    </w:p>
    <w:p>
      <w:r>
        <w:t>Server‑Configured Dynamic Vendor Prioritization</w:t>
        <w:br/>
        <w:t>Operators may temporarily increase priority, resource budgets, or render weighting for a particular vendor during marketing events or campaigns, after which the system automatically reverts to baseline arbitration behavior.</w:t>
      </w:r>
    </w:p>
    <w:p>
      <w:r>
        <w:t>Android Resource‑Aware Governance</w:t>
        <w:br/>
        <w:t>The arbitration engine monitors refresh frequency, CPU load, network retrieval patterns, battery impact, and wake activity to prevent aggressive behavior that may cause Android to throttle or terminate participating applications.</w:t>
      </w:r>
    </w:p>
    <w:p>
      <w:pPr>
        <w:pStyle w:val="Heading1"/>
      </w:pPr>
      <w:r>
        <w:t>Token‑Based Arbitration Model</w:t>
      </w:r>
    </w:p>
    <w:p>
      <w:r>
        <w:t>The arbitration service issues tokenized rights to participating vendors:</w:t>
      </w:r>
    </w:p>
    <w:p>
      <w:r>
        <w:t>Refresh Token – permission to retrieve or update content</w:t>
        <w:br/>
        <w:t>Staging Token – permission to prepare payloads for rendering</w:t>
        <w:br/>
        <w:t>Render Token – permission to occupy the UI surface</w:t>
        <w:br/>
        <w:t>Priority Token – temporary override allowing queue advancement</w:t>
      </w:r>
    </w:p>
    <w:p>
      <w:r>
        <w:t>Each token contains metadata such as vendor identity, validity duration, resource budget limits, freshness requirements, and policy context.</w:t>
      </w:r>
    </w:p>
    <w:p>
      <w:pPr>
        <w:pStyle w:val="Heading1"/>
      </w:pPr>
      <w:r>
        <w:t>Vendor Handshake Protocol</w:t>
      </w:r>
    </w:p>
    <w:p>
      <w:r>
        <w:t>Participating vendors must use a structured coordination protocol consisting of:</w:t>
      </w:r>
    </w:p>
    <w:p>
      <w:r>
        <w:t>Intent Messages</w:t>
        <w:br/>
        <w:t>PRIORITY_REQUEST</w:t>
        <w:br/>
        <w:t>REFRESH_REQUEST</w:t>
        <w:br/>
        <w:t>STAGING_REQUEST</w:t>
      </w:r>
    </w:p>
    <w:p>
      <w:r>
        <w:t>State Messages</w:t>
        <w:br/>
        <w:t>PRIORITY_GRANTED_ACK</w:t>
        <w:br/>
        <w:t>REFRESH_STARTED</w:t>
        <w:br/>
        <w:t>STAGING_STARTED</w:t>
        <w:br/>
        <w:t>READY_STATE_ASSERTED</w:t>
      </w:r>
    </w:p>
    <w:p>
      <w:r>
        <w:t>Completion Messages</w:t>
        <w:br/>
        <w:t>REFRESH_COMPLETE</w:t>
        <w:br/>
        <w:t>STAGING_COMPLETE</w:t>
        <w:br/>
        <w:t>PRIORITY_RELEASE</w:t>
      </w:r>
    </w:p>
    <w:p>
      <w:r>
        <w:t>Fault Messages</w:t>
        <w:br/>
        <w:t>TASK_FAILED</w:t>
        <w:br/>
        <w:t>TIMEOUT_OCCURRED</w:t>
        <w:br/>
        <w:t>INVALIDATE_CACHE</w:t>
      </w:r>
    </w:p>
    <w:p>
      <w:pPr>
        <w:pStyle w:val="Heading1"/>
      </w:pPr>
      <w:r>
        <w:t>Telemetry and Diagnostic Monitoring</w:t>
      </w:r>
    </w:p>
    <w:p>
      <w:r>
        <w:t>Both vendor applications must expose standardized telemetry metrics so that operators can verify compliance with arbitration rules.</w:t>
      </w:r>
    </w:p>
    <w:p>
      <w:r>
        <w:t>Vendor telemetry includes refresh attempts, refresh completion rates, staging activity, readiness state, resource usage metrics, and render success rates.</w:t>
      </w:r>
    </w:p>
    <w:p>
      <w:r>
        <w:t>The arbitration service maintains system‑level metrics such as fairness balance, starvation detection, refresh suppression events, render latency measurements, and policy override activations.</w:t>
      </w:r>
    </w:p>
    <w:p>
      <w:pPr>
        <w:pStyle w:val="Heading1"/>
      </w:pPr>
      <w:r>
        <w:t>Server Policy Control</w:t>
      </w:r>
    </w:p>
    <w:p>
      <w:r>
        <w:t>The arbitration engine operates using policies delivered from a remote server. Policies may dynamically adjust:</w:t>
      </w:r>
    </w:p>
    <w:p>
      <w:r>
        <w:t>vendor priority weighting</w:t>
        <w:br/>
        <w:t>refresh cadence limits</w:t>
        <w:br/>
        <w:t>staging quotas</w:t>
        <w:br/>
        <w:t>resource budgets</w:t>
        <w:br/>
        <w:t>campaign override rules</w:t>
        <w:br/>
        <w:t>security trust lists</w:t>
        <w:br/>
        <w:t>telemetry verbosity levels</w:t>
      </w:r>
    </w:p>
    <w:p>
      <w:r>
        <w:t>Policies are authenticated, versioned, and verified before being applied to the on‑device arbitration engine.</w:t>
      </w:r>
    </w:p>
    <w:p>
      <w:pPr>
        <w:pStyle w:val="Heading1"/>
      </w:pPr>
      <w:r>
        <w:t>End‑to‑End Operational Flow</w:t>
      </w:r>
    </w:p>
    <w:p>
      <w:r>
        <w:t>1. Device synchronizes arbitration policy from the server.</w:t>
        <w:br/>
        <w:t>2. Arbitration engine evaluates vendor readiness states.</w:t>
        <w:br/>
        <w:t>3. Refresh and staging tokens are issued according to policy rules.</w:t>
        <w:br/>
        <w:t>4. Vendors prepare content and assert readiness.</w:t>
        <w:br/>
        <w:t>5. Android lock or unlock trigger occurs.</w:t>
        <w:br/>
        <w:t>6. Arbitration engine evaluates eligible vendors.</w:t>
        <w:br/>
        <w:t>7. Render token is granted to the highest scoring candidate.</w:t>
        <w:br/>
        <w:t>8. Content is displayed immediately from staged payloads.</w:t>
        <w:br/>
        <w:t>9. Vendors release tokens and telemetry is recorded.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