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EXECUTIVE SUMMARY</w:t>
      </w:r>
    </w:p>
    <w:p>
      <w:pPr>
        <w:pStyle w:val="BodyText"/>
      </w:pPr>
      <w:r>
        <w:t xml:space="preserve">Dynamic Carrier-Managed eCommerce Advertisement and Auction Control System</w:t>
      </w:r>
    </w:p>
    <w:p>
      <w:pPr>
        <w:pStyle w:val="BodyText"/>
      </w:pPr>
      <w:r>
        <w:t xml:space="preserve">Overview</w:t>
      </w:r>
    </w:p>
    <w:p>
      <w:pPr>
        <w:pStyle w:val="BodyText"/>
      </w:pPr>
      <w:r>
        <w:t xml:space="preserve">This invention establishes the mobile network operator as the governing authority for advertising, application distribution, and digital commerce experiences on subscriber devices. Rather than relying on application-level software development kits or third-party mediation platforms, the system operates as a carrier-controlled control plane integrated with subscriber identity, billing systems, and network intelligence.</w:t>
      </w:r>
    </w:p>
    <w:p>
      <w:pPr>
        <w:pStyle w:val="BodyText"/>
      </w:pPr>
      <w:r>
        <w:t xml:space="preserve">The carrier functions as a neutral market operator, managing consent, eligibility, auction participation, execution, monetization, and compliance across multiple regulated digital markets embedded directly into the device lifecycle.</w:t>
      </w:r>
    </w:p>
    <w:p>
      <w:pPr>
        <w:pStyle w:val="BodyText"/>
      </w:pPr>
      <w:r>
        <w:t xml:space="preserve">Key Innovation</w:t>
      </w:r>
    </w:p>
    <w:p>
      <w:pPr>
        <w:pStyle w:val="BodyText"/>
      </w:pPr>
      <w:r>
        <w:t xml:space="preserve">The system introduces a carrier-managed Ad Layer that operates as a carrier-level Market Governance Plane and conducts auctions for both application installations and advertisement placements. These markets operate independently, with separate pricing, attribution, and revenue accounting, allowing the carrier to optimize value without cross-contamination of metrics.</w:t>
      </w:r>
    </w:p>
    <w:p>
      <w:pPr>
        <w:pStyle w:val="BodyText"/>
      </w:pPr>
      <w:r>
        <w:t xml:space="preserve">Auction determination is intentionally separated from execution. The carrier-controlled Ad Layer determines eligibility, pricing, and winning outcomes, while separate execution components perform installations or render advertisements. This separation ensures auditability, fault isolation, regulatory compliance, and non-repudiation of outcomes.</w:t>
      </w:r>
    </w:p>
    <w:p>
      <w:pPr>
        <w:pStyle w:val="BodyText"/>
      </w:pPr>
      <w:r>
        <w:t xml:space="preserve">By supporting multiple independent demand-side vendors within the same auction framework, the system increases competition, prevents bid suppression, and enables higher clearing prices compared to single-broker models.</w:t>
      </w:r>
    </w:p>
    <w:p>
      <w:pPr>
        <w:pStyle w:val="BodyText"/>
      </w:pPr>
      <w:r>
        <w:t xml:space="preserve">AI and Intelligence Advantage</w:t>
      </w:r>
    </w:p>
    <w:p>
      <w:pPr>
        <w:pStyle w:val="BodyText"/>
      </w:pPr>
      <w:r>
        <w:t xml:space="preserve">The system leverages carrier-owned, first-party intelligence that is unavailable to application-level platforms. This includes device telemetry, subscriber attributes, network state, and detailed application lifecycle behavior such as usage duration, retention, uninstall timing, acquisition source, and longitudinal usage patterns.</w:t>
      </w:r>
    </w:p>
    <w:p>
      <w:pPr>
        <w:pStyle w:val="BodyText"/>
      </w:pPr>
      <w:r>
        <w:t xml:space="preserve">Artificial intelligence models function as policy-aware decision engines rather than recommendation or targeting systems. These models use carrier-owned intelligence to determine auction eligibility, reserve pricing, bid exposure, and outcome selection, optimizing for long-term value, retention, and subscriber experience rather than short-term impressions or installs.</w:t>
      </w:r>
    </w:p>
    <w:p>
      <w:pPr>
        <w:pStyle w:val="BodyText"/>
      </w:pPr>
      <w:r>
        <w:t xml:space="preserve">Consent, Compliance, and Control</w:t>
      </w:r>
    </w:p>
    <w:p>
      <w:pPr>
        <w:pStyle w:val="BodyText"/>
      </w:pPr>
      <w:r>
        <w:t xml:space="preserve">A stand-alone consent application ensures explicit subscriber authorization prior to any auction participation or execution. The system enforces parental controls, children’s privacy protections, jurisdictional compliance, and supplier restrictions upstream of bidding.</w:t>
      </w:r>
    </w:p>
    <w:p>
      <w:pPr>
        <w:pStyle w:val="BodyText"/>
      </w:pPr>
      <w:r>
        <w:t xml:space="preserve">When required, the system creates walled-garden environments that restrict advertising, application installs, or auction participation based on legal, regulatory, or policy requirements.</w:t>
      </w:r>
    </w:p>
    <w:p>
      <w:pPr>
        <w:pStyle w:val="BodyText"/>
      </w:pPr>
      <w:r>
        <w:t xml:space="preserve">Strategic Impact</w:t>
      </w:r>
    </w:p>
    <w:p>
      <w:pPr>
        <w:pStyle w:val="BodyText"/>
      </w:pPr>
      <w:r>
        <w:t xml:space="preserve">This invention transforms advertising and application distribution from fragmented, application-controlled activities into a unified, carrier-governed marketplace. It provides durable leverage over mobile commerce economics while maintaining regulatory compliance and protecting subscriber experience.</w:t>
      </w:r>
    </w:p>
    <w:p>
      <w:pPr>
        <w:pStyle w:val="BodyText"/>
      </w:pPr>
      <w:r>
        <w:t xml:space="preserve">End of Executive Summary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2026-01-26T09:15:05Z</dcterms:created>
  <dcterms:modified xsi:type="dcterms:W3CDTF">2026-01-26T09:15:05Z</dcterms:modified>
</cp:coreProperties>
</file>

<file path=docProps/custom.xml><?xml version="1.0" encoding="utf-8"?>
<Properties xmlns="http://schemas.openxmlformats.org/officeDocument/2006/custom-properties" xmlns:vt="http://schemas.openxmlformats.org/officeDocument/2006/docPropsVTypes"/>
</file>