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PATENT BRIEFING</w:t>
      </w:r>
    </w:p>
    <w:p>
      <w:pPr>
        <w:pStyle w:val="BodyText"/>
      </w:pPr>
      <w:r>
        <w:t xml:space="preserve">Title:</w:t>
      </w:r>
      <w:r>
        <w:t xml:space="preserve"> </w:t>
      </w:r>
      <w:r>
        <w:t xml:space="preserve">Dynamic Carrier-Managed eCommerce Advertisement and Auction Control System</w:t>
      </w:r>
    </w:p>
    <w:p>
      <w:pPr>
        <w:pStyle w:val="BodyText"/>
      </w:pPr>
      <w:r>
        <w:t xml:space="preserve">Author:</w:t>
      </w:r>
      <w:r>
        <w:t xml:space="preserve"> </w:t>
      </w:r>
      <w:r>
        <w:t xml:space="preserve">Bill McCracken, Principal Product Architect, T-Mobile, T-Ads</w:t>
      </w:r>
      <w:r>
        <w:t xml:space="preserve"> </w:t>
      </w:r>
      <w:r>
        <w:t xml:space="preserve">913-707-1075</w:t>
      </w:r>
      <w:r>
        <w:t xml:space="preserve"> </w:t>
      </w:r>
      <w:r>
        <w:t xml:space="preserve">bill.g.mccracken@t-mobile.com</w:t>
      </w:r>
      <w:r>
        <w:t xml:space="preserve"> </w:t>
      </w:r>
      <w:r>
        <w:t xml:space="preserve">(c) 2025 – Proprietary and Confidential – Do Not Copy</w:t>
      </w:r>
    </w:p>
    <w:p>
      <w:pPr>
        <w:pStyle w:val="BodyText"/>
      </w:pPr>
      <w:r>
        <w:t xml:space="preserve">Invention Date:</w:t>
      </w:r>
      <w:r>
        <w:t xml:space="preserve"> </w:t>
      </w:r>
      <w:r>
        <w:t xml:space="preserve">[Previously established and preserved as canonical]</w:t>
      </w:r>
    </w:p>
    <w:p>
      <w:pPr>
        <w:pStyle w:val="Compact"/>
        <w:numPr>
          <w:ilvl w:val="0"/>
          <w:numId w:val="1001"/>
        </w:numPr>
      </w:pPr>
      <w:r>
        <w:t xml:space="preserve">Patent Overview</w:t>
      </w:r>
    </w:p>
    <w:p>
      <w:pPr>
        <w:pStyle w:val="FirstParagraph"/>
      </w:pPr>
      <w:r>
        <w:t xml:space="preserve">This patent describes a carrier-controlled, AI-driven advertisement and commerce orchestration system operating at the device, operating-system-adjacent, and network layers. The invention establishes the mobile network operator as the authoritative control plane for advertising, application distribution, and commerce experiences on subscriber devices.</w:t>
      </w:r>
    </w:p>
    <w:p>
      <w:pPr>
        <w:pStyle w:val="BodyText"/>
      </w:pPr>
      <w:r>
        <w:t xml:space="preserve">Unlike SDK-based advertising platforms that operate within applications, this system is managed by the carrier and integrated with privileged device telemetry, subscriber data, network state, and billing systems. The carrier acts as a neutral market operator, governing consent, eligibility, auctioning, execution, monetization, and attribution.</w:t>
      </w:r>
    </w:p>
    <w:p>
      <w:pPr>
        <w:pStyle w:val="Compact"/>
        <w:numPr>
          <w:ilvl w:val="0"/>
          <w:numId w:val="1002"/>
        </w:numPr>
      </w:pPr>
      <w:r>
        <w:t xml:space="preserve">Core Problem Being Solved</w:t>
      </w:r>
    </w:p>
    <w:p>
      <w:pPr>
        <w:pStyle w:val="FirstParagraph"/>
      </w:pPr>
      <w:r>
        <w:t xml:space="preserve">Current mobile advertising and app-install ecosystems suffer from multiple structural limitations:</w:t>
      </w:r>
    </w:p>
    <w:p>
      <w:pPr>
        <w:pStyle w:val="Compact"/>
        <w:numPr>
          <w:ilvl w:val="0"/>
          <w:numId w:val="1003"/>
        </w:numPr>
      </w:pPr>
      <w:r>
        <w:t xml:space="preserve">Advertising auctions are controlled by single brokers or SDK providers, allowing price suppression and limited competition.</w:t>
      </w:r>
    </w:p>
    <w:p>
      <w:pPr>
        <w:pStyle w:val="Compact"/>
        <w:numPr>
          <w:ilvl w:val="0"/>
          <w:numId w:val="1003"/>
        </w:numPr>
      </w:pPr>
      <w:r>
        <w:t xml:space="preserve">App-level SDKs lack access to network intelligence, billing systems, and system-level user interfaces.</w:t>
      </w:r>
    </w:p>
    <w:p>
      <w:pPr>
        <w:pStyle w:val="Compact"/>
        <w:numPr>
          <w:ilvl w:val="0"/>
          <w:numId w:val="1003"/>
        </w:numPr>
      </w:pPr>
      <w:r>
        <w:t xml:space="preserve">Attribution is probabilistic and fragmented across vendors.</w:t>
      </w:r>
    </w:p>
    <w:p>
      <w:pPr>
        <w:pStyle w:val="Compact"/>
        <w:numPr>
          <w:ilvl w:val="0"/>
          <w:numId w:val="1003"/>
        </w:numPr>
      </w:pPr>
      <w:r>
        <w:t xml:space="preserve">User consent is diffuse, inconsistently enforced, and difficult to audit.</w:t>
      </w:r>
    </w:p>
    <w:p>
      <w:pPr>
        <w:pStyle w:val="Compact"/>
        <w:numPr>
          <w:ilvl w:val="0"/>
          <w:numId w:val="1003"/>
        </w:numPr>
      </w:pPr>
      <w:r>
        <w:t xml:space="preserve">Out-of-box experience (OOBE) and onboarding flows represent valuable but underutilized and poorly governed inventory.</w:t>
      </w:r>
    </w:p>
    <w:p>
      <w:pPr>
        <w:pStyle w:val="FirstParagraph"/>
      </w:pPr>
      <w:r>
        <w:t xml:space="preserve">This invention addresses these limitations by shifting control from application vendors to the carrier, enabling regulated, auditable, and economically optimized digital marketplaces on the device.</w:t>
      </w:r>
    </w:p>
    <w:p>
      <w:pPr>
        <w:pStyle w:val="Compact"/>
        <w:numPr>
          <w:ilvl w:val="0"/>
          <w:numId w:val="1004"/>
        </w:numPr>
      </w:pPr>
      <w:r>
        <w:t xml:space="preserve">Stand-Alone Consent and Control Application</w:t>
      </w:r>
    </w:p>
    <w:p>
      <w:pPr>
        <w:pStyle w:val="FirstParagraph"/>
      </w:pPr>
      <w:r>
        <w:t xml:space="preserve">The system includes a stand-alone, carrier-managed application responsible for obtaining and managing explicit user consent for participation in advertising and commerce activities.</w:t>
      </w:r>
    </w:p>
    <w:p>
      <w:pPr>
        <w:pStyle w:val="BodyText"/>
      </w:pPr>
      <w:r>
        <w:t xml:space="preserve">This application:</w:t>
      </w:r>
      <w:r>
        <w:t xml:space="preserve"> </w:t>
      </w:r>
      <w:r>
        <w:t xml:space="preserve">- Presents consent disclosures to subscribers</w:t>
      </w:r>
      <w:r>
        <w:t xml:space="preserve"> </w:t>
      </w:r>
      <w:r>
        <w:t xml:space="preserve">- Manages preference updates and revocation</w:t>
      </w:r>
      <w:r>
        <w:t xml:space="preserve"> </w:t>
      </w:r>
      <w:r>
        <w:t xml:space="preserve">- Acts as the authoritative gatekeeper for all downstream auctions and executions</w:t>
      </w:r>
    </w:p>
    <w:p>
      <w:pPr>
        <w:pStyle w:val="BodyText"/>
      </w:pPr>
      <w:r>
        <w:t xml:space="preserve">No advertising, ad placement, or application installation may occur unless an active consent state exists within this application.</w:t>
      </w:r>
    </w:p>
    <w:p>
      <w:pPr>
        <w:pStyle w:val="Compact"/>
        <w:numPr>
          <w:ilvl w:val="0"/>
          <w:numId w:val="1005"/>
        </w:numPr>
      </w:pPr>
      <w:r>
        <w:t xml:space="preserve">Dual Auction Domain Architecture</w:t>
      </w:r>
    </w:p>
    <w:p>
      <w:pPr>
        <w:pStyle w:val="FirstParagraph"/>
      </w:pPr>
      <w:r>
        <w:t xml:space="preserve">The invention explicitly defines two separate and non-co-mingled auction domains, each operating as an independent economic system.</w:t>
      </w:r>
    </w:p>
    <w:p>
      <w:pPr>
        <w:pStyle w:val="BodyText"/>
      </w:pPr>
      <w:r>
        <w:t xml:space="preserve">4.1 Install Auction Domain</w:t>
      </w:r>
    </w:p>
    <w:p>
      <w:pPr>
        <w:pStyle w:val="BodyText"/>
      </w:pPr>
      <w:r>
        <w:t xml:space="preserve">The Install Auction Domain governs auctions where the outcome is an application installation. These include:</w:t>
      </w:r>
    </w:p>
    <w:p>
      <w:pPr>
        <w:pStyle w:val="Compact"/>
        <w:numPr>
          <w:ilvl w:val="0"/>
          <w:numId w:val="1006"/>
        </w:numPr>
      </w:pPr>
      <w:r>
        <w:t xml:space="preserve">Dynamic App Installs (DAI)</w:t>
      </w:r>
    </w:p>
    <w:p>
      <w:pPr>
        <w:pStyle w:val="Compact"/>
        <w:numPr>
          <w:ilvl w:val="1"/>
          <w:numId w:val="1007"/>
        </w:numPr>
      </w:pPr>
      <w:r>
        <w:t xml:space="preserve">Silent or background installs</w:t>
      </w:r>
    </w:p>
    <w:p>
      <w:pPr>
        <w:pStyle w:val="Compact"/>
        <w:numPr>
          <w:ilvl w:val="1"/>
          <w:numId w:val="1007"/>
        </w:numPr>
      </w:pPr>
      <w:r>
        <w:t xml:space="preserve">Often executed during OOBE or system-level lifecycle events</w:t>
      </w:r>
    </w:p>
    <w:p>
      <w:pPr>
        <w:pStyle w:val="Compact"/>
        <w:numPr>
          <w:ilvl w:val="1"/>
          <w:numId w:val="1007"/>
        </w:numPr>
      </w:pPr>
      <w:r>
        <w:t xml:space="preserve">Constrained by fixed install inventory (for example, a limited number of install slots)</w:t>
      </w:r>
    </w:p>
    <w:p>
      <w:pPr>
        <w:pStyle w:val="Compact"/>
        <w:numPr>
          <w:ilvl w:val="0"/>
          <w:numId w:val="1006"/>
        </w:numPr>
      </w:pPr>
      <w:r>
        <w:t xml:space="preserve">Native App Installs (NAI)</w:t>
      </w:r>
    </w:p>
    <w:p>
      <w:pPr>
        <w:pStyle w:val="Compact"/>
        <w:numPr>
          <w:ilvl w:val="1"/>
          <w:numId w:val="1008"/>
        </w:numPr>
      </w:pPr>
      <w:r>
        <w:t xml:space="preserve">User-interactive onboarding and discovery experiences</w:t>
      </w:r>
    </w:p>
    <w:p>
      <w:pPr>
        <w:pStyle w:val="Compact"/>
        <w:numPr>
          <w:ilvl w:val="1"/>
          <w:numId w:val="1008"/>
        </w:numPr>
      </w:pPr>
      <w:r>
        <w:t xml:space="preserve">Preference-driven and engagement-focused</w:t>
      </w:r>
    </w:p>
    <w:p>
      <w:pPr>
        <w:pStyle w:val="FirstParagraph"/>
      </w:pPr>
      <w:r>
        <w:t xml:space="preserve">Winning install outcomes are handed off to a dedicated installer agent or application, separate from the auction engine.</w:t>
      </w:r>
    </w:p>
    <w:p>
      <w:pPr>
        <w:pStyle w:val="BodyText"/>
      </w:pPr>
      <w:r>
        <w:t xml:space="preserve">4.2 Surface and Ad Placement Auction Domain</w:t>
      </w:r>
    </w:p>
    <w:p>
      <w:pPr>
        <w:pStyle w:val="BodyText"/>
      </w:pPr>
      <w:r>
        <w:t xml:space="preserve">The Surface Auction Domain governs auctions where the outcome is a rendered advertisement or branded placement rather than an install. These auctions monetize attention and interface scarcity.</w:t>
      </w:r>
    </w:p>
    <w:p>
      <w:pPr>
        <w:pStyle w:val="BodyText"/>
      </w:pPr>
      <w:r>
        <w:t xml:space="preserve">Examples include:</w:t>
      </w:r>
      <w:r>
        <w:t xml:space="preserve"> </w:t>
      </w:r>
      <w:r>
        <w:t xml:space="preserve">- Onboarding screens</w:t>
      </w:r>
      <w:r>
        <w:t xml:space="preserve"> </w:t>
      </w:r>
      <w:r>
        <w:t xml:space="preserve">- OOBE user interface flows</w:t>
      </w:r>
      <w:r>
        <w:t xml:space="preserve"> </w:t>
      </w:r>
      <w:r>
        <w:t xml:space="preserve">- Carrier-controlled system-level surfaces</w:t>
      </w:r>
    </w:p>
    <w:p>
      <w:pPr>
        <w:pStyle w:val="BodyText"/>
      </w:pPr>
      <w:r>
        <w:t xml:space="preserve">These auctions are independent of install auctions and may serve branding, awareness, or engagement objectives.</w:t>
      </w:r>
    </w:p>
    <w:p>
      <w:pPr>
        <w:pStyle w:val="Compact"/>
        <w:numPr>
          <w:ilvl w:val="0"/>
          <w:numId w:val="1009"/>
        </w:numPr>
      </w:pPr>
      <w:r>
        <w:t xml:space="preserve">Mandatory Separation of Monetization and Attribution</w:t>
      </w:r>
    </w:p>
    <w:p>
      <w:pPr>
        <w:pStyle w:val="FirstParagraph"/>
      </w:pPr>
      <w:r>
        <w:t xml:space="preserve">Each auction domain maintains strict separation across:</w:t>
      </w:r>
      <w:r>
        <w:t xml:space="preserve"> </w:t>
      </w:r>
      <w:r>
        <w:t xml:space="preserve">- Pricing models</w:t>
      </w:r>
      <w:r>
        <w:t xml:space="preserve"> </w:t>
      </w:r>
      <w:r>
        <w:t xml:space="preserve">- Clearing logic</w:t>
      </w:r>
      <w:r>
        <w:t xml:space="preserve"> </w:t>
      </w:r>
      <w:r>
        <w:t xml:space="preserve">- Attribution and reporting</w:t>
      </w:r>
      <w:r>
        <w:t xml:space="preserve"> </w:t>
      </w:r>
      <w:r>
        <w:t xml:space="preserve">- Revenue accounting</w:t>
      </w:r>
      <w:r>
        <w:t xml:space="preserve"> </w:t>
      </w:r>
      <w:r>
        <w:t xml:space="preserve">- Performance analytics</w:t>
      </w:r>
    </w:p>
    <w:p>
      <w:pPr>
        <w:pStyle w:val="BodyText"/>
      </w:pPr>
      <w:r>
        <w:t xml:space="preserve">Install-based monetization metrics are never blended with surface or ad-placement metrics. This separation allows the carrier to operate multiple regulated digital markets on the device without economic or analytical cross-contamination.</w:t>
      </w:r>
    </w:p>
    <w:p>
      <w:pPr>
        <w:pStyle w:val="Compact"/>
        <w:numPr>
          <w:ilvl w:val="0"/>
          <w:numId w:val="1010"/>
        </w:numPr>
      </w:pPr>
      <w:r>
        <w:t xml:space="preserve">Multi-Broker, Neutral Auction Control</w:t>
      </w:r>
    </w:p>
    <w:p>
      <w:pPr>
        <w:pStyle w:val="FirstParagraph"/>
      </w:pPr>
      <w:r>
        <w:t xml:space="preserve">The Ad Layer functions as a neutral, carrier-operated exchange supporting simultaneous participation from multiple independent demand-side vendors.</w:t>
      </w:r>
    </w:p>
    <w:p>
      <w:pPr>
        <w:pStyle w:val="BodyText"/>
      </w:pPr>
      <w:r>
        <w:t xml:space="preserve">The carrier:</w:t>
      </w:r>
      <w:r>
        <w:t xml:space="preserve"> </w:t>
      </w:r>
      <w:r>
        <w:t xml:space="preserve">- Normalizes bids across vendors</w:t>
      </w:r>
      <w:r>
        <w:t xml:space="preserve"> </w:t>
      </w:r>
      <w:r>
        <w:t xml:space="preserve">- Controls access to inventory</w:t>
      </w:r>
      <w:r>
        <w:t xml:space="preserve"> </w:t>
      </w:r>
      <w:r>
        <w:t xml:space="preserve">- Prevents single-vendor dominance</w:t>
      </w:r>
      <w:r>
        <w:t xml:space="preserve"> </w:t>
      </w:r>
      <w:r>
        <w:t xml:space="preserve">- Enforces fairness and competition</w:t>
      </w:r>
    </w:p>
    <w:p>
      <w:pPr>
        <w:pStyle w:val="BodyText"/>
      </w:pPr>
      <w:r>
        <w:t xml:space="preserve">This multi-source auction model enables higher clearing prices and prevents bid suppression inherent in single-broker systems.</w:t>
      </w:r>
    </w:p>
    <w:p>
      <w:pPr>
        <w:pStyle w:val="Compact"/>
        <w:numPr>
          <w:ilvl w:val="0"/>
          <w:numId w:val="1011"/>
        </w:numPr>
      </w:pPr>
      <w:r>
        <w:t xml:space="preserve">AI-Driven Bid Intelligence and Market Learning</w:t>
      </w:r>
    </w:p>
    <w:p>
      <w:pPr>
        <w:pStyle w:val="FirstParagraph"/>
      </w:pPr>
      <w:r>
        <w:t xml:space="preserve">An AI decision engine continuously analyzes auction performance, including:</w:t>
      </w:r>
      <w:r>
        <w:t xml:space="preserve"> </w:t>
      </w:r>
      <w:r>
        <w:t xml:space="preserve">- Bid values and clearing prices</w:t>
      </w:r>
      <w:r>
        <w:t xml:space="preserve"> </w:t>
      </w:r>
      <w:r>
        <w:t xml:space="preserve">- Vendor win and loss rates</w:t>
      </w:r>
      <w:r>
        <w:t xml:space="preserve"> </w:t>
      </w:r>
      <w:r>
        <w:t xml:space="preserve">- Execution success and failure outcomes</w:t>
      </w:r>
      <w:r>
        <w:t xml:space="preserve"> </w:t>
      </w:r>
      <w:r>
        <w:t xml:space="preserve">- Monetization yield</w:t>
      </w:r>
      <w:r>
        <w:t xml:space="preserve"> </w:t>
      </w:r>
      <w:r>
        <w:t xml:space="preserve">- Temporal and lifecycle-based trends</w:t>
      </w:r>
    </w:p>
    <w:p>
      <w:pPr>
        <w:pStyle w:val="BodyText"/>
      </w:pPr>
      <w:r>
        <w:t xml:space="preserve">The AI dynamically adjusts:</w:t>
      </w:r>
      <w:r>
        <w:t xml:space="preserve"> </w:t>
      </w:r>
      <w:r>
        <w:t xml:space="preserve">- Reserve pricing</w:t>
      </w:r>
      <w:r>
        <w:t xml:space="preserve"> </w:t>
      </w:r>
      <w:r>
        <w:t xml:space="preserve">- Bid weighting</w:t>
      </w:r>
      <w:r>
        <w:t xml:space="preserve"> </w:t>
      </w:r>
      <w:r>
        <w:t xml:space="preserve">- Vendor participation</w:t>
      </w:r>
      <w:r>
        <w:t xml:space="preserve"> </w:t>
      </w:r>
      <w:r>
        <w:t xml:space="preserve">- Auction strategy per lifecycle phase</w:t>
      </w:r>
    </w:p>
    <w:p>
      <w:pPr>
        <w:pStyle w:val="BodyText"/>
      </w:pPr>
      <w:r>
        <w:t xml:space="preserve">Learning is domain-aware (install vs surface) and install-class-aware (DAI vs NAI).</w:t>
      </w:r>
    </w:p>
    <w:p>
      <w:pPr>
        <w:pStyle w:val="Compact"/>
        <w:numPr>
          <w:ilvl w:val="0"/>
          <w:numId w:val="1012"/>
        </w:numPr>
      </w:pPr>
      <w:r>
        <w:t xml:space="preserve">Install-Class-Aware Valuation</w:t>
      </w:r>
    </w:p>
    <w:p>
      <w:pPr>
        <w:pStyle w:val="FirstParagraph"/>
      </w:pPr>
      <w:r>
        <w:t xml:space="preserve">The system recognizes that demand-side valuation varies by install modality and lifecycle context. Different vendors may bid higher or perform better depending on:</w:t>
      </w:r>
      <w:r>
        <w:t xml:space="preserve"> </w:t>
      </w:r>
      <w:r>
        <w:t xml:space="preserve">- Silent versus user-interactive installs</w:t>
      </w:r>
      <w:r>
        <w:t xml:space="preserve"> </w:t>
      </w:r>
      <w:r>
        <w:t xml:space="preserve">- OOBE versus post-onboarding phases</w:t>
      </w:r>
      <w:r>
        <w:t xml:space="preserve"> </w:t>
      </w:r>
      <w:r>
        <w:t xml:space="preserve">- Engagement-driven versus transactional use cases</w:t>
      </w:r>
    </w:p>
    <w:p>
      <w:pPr>
        <w:pStyle w:val="BodyText"/>
      </w:pPr>
      <w:r>
        <w:t xml:space="preserve">The auction engine adapts pricing and selection logic based on these learned differences.</w:t>
      </w:r>
    </w:p>
    <w:p>
      <w:pPr>
        <w:pStyle w:val="Compact"/>
        <w:numPr>
          <w:ilvl w:val="0"/>
          <w:numId w:val="1013"/>
        </w:numPr>
      </w:pPr>
      <w:r>
        <w:t xml:space="preserve">Execution Boundary and Enforcement</w:t>
      </w:r>
    </w:p>
    <w:p>
      <w:pPr>
        <w:pStyle w:val="FirstParagraph"/>
      </w:pPr>
      <w:r>
        <w:t xml:space="preserve">The Ad Layer determines auction outcomes but does not directly execute installs or render actions. Execution is delegated to separate system components, ensuring:</w:t>
      </w:r>
      <w:r>
        <w:t xml:space="preserve"> </w:t>
      </w:r>
      <w:r>
        <w:t xml:space="preserve">- Security isolation</w:t>
      </w:r>
      <w:r>
        <w:t xml:space="preserve"> </w:t>
      </w:r>
      <w:r>
        <w:t xml:space="preserve">- Auditability</w:t>
      </w:r>
      <w:r>
        <w:t xml:space="preserve"> </w:t>
      </w:r>
      <w:r>
        <w:t xml:space="preserve">- Fault containment</w:t>
      </w:r>
      <w:r>
        <w:t xml:space="preserve"> </w:t>
      </w:r>
      <w:r>
        <w:t xml:space="preserve">- Non-repudiation of outcomes</w:t>
      </w:r>
    </w:p>
    <w:p>
      <w:pPr>
        <w:pStyle w:val="Compact"/>
        <w:numPr>
          <w:ilvl w:val="0"/>
          <w:numId w:val="1014"/>
        </w:numPr>
      </w:pPr>
      <w:r>
        <w:t xml:space="preserve">A/B Testing and Controlled Experience Experimentation</w:t>
      </w:r>
    </w:p>
    <w:p>
      <w:pPr>
        <w:pStyle w:val="FirstParagraph"/>
      </w:pPr>
      <w:r>
        <w:t xml:space="preserve">The Ad Layer includes a controlled experimentation framework that enables A/B testing, multivariate testing, and phased rollout of advertising, onboarding, and commerce experiences.</w:t>
      </w:r>
    </w:p>
    <w:p>
      <w:pPr>
        <w:pStyle w:val="BodyText"/>
      </w:pPr>
      <w:r>
        <w:t xml:space="preserve">The system supports:</w:t>
      </w:r>
      <w:r>
        <w:t xml:space="preserve"> </w:t>
      </w:r>
      <w:r>
        <w:t xml:space="preserve">- Creation of experimental cohorts carved out from the active subscriber base</w:t>
      </w:r>
      <w:r>
        <w:t xml:space="preserve"> </w:t>
      </w:r>
      <w:r>
        <w:t xml:space="preserve">- Fixed-size cohort assignment (for example, allocating 10,000 users to an experimental experience)</w:t>
      </w:r>
      <w:r>
        <w:t xml:space="preserve"> </w:t>
      </w:r>
      <w:r>
        <w:t xml:space="preserve">- Percentage-based traffic splits between baseline and experimental variants</w:t>
      </w:r>
      <w:r>
        <w:t xml:space="preserve"> </w:t>
      </w:r>
      <w:r>
        <w:t xml:space="preserve">- Device-aware segmentation, including differentiation by device tier, manufacturer, operating system version, and hardware capabilities</w:t>
      </w:r>
      <w:r>
        <w:t xml:space="preserve"> </w:t>
      </w:r>
      <w:r>
        <w:t xml:space="preserve">- Network-aware segmentation, including Wi-Fi versus carrier connectivity and regional network conditions</w:t>
      </w:r>
    </w:p>
    <w:p>
      <w:pPr>
        <w:pStyle w:val="BodyText"/>
      </w:pPr>
      <w:r>
        <w:t xml:space="preserve">Experimental variants may include changes to:</w:t>
      </w:r>
      <w:r>
        <w:t xml:space="preserve"> </w:t>
      </w:r>
      <w:r>
        <w:t xml:space="preserve">- Auction logic or reserve pricing</w:t>
      </w:r>
      <w:r>
        <w:t xml:space="preserve"> </w:t>
      </w:r>
      <w:r>
        <w:t xml:space="preserve">- Ad formats or surface placement</w:t>
      </w:r>
      <w:r>
        <w:t xml:space="preserve"> </w:t>
      </w:r>
      <w:r>
        <w:t xml:space="preserve">- Onboarding flows and user experience sequences</w:t>
      </w:r>
      <w:r>
        <w:t xml:space="preserve"> </w:t>
      </w:r>
      <w:r>
        <w:t xml:space="preserve">- Install modalities (DAI versus NAI)</w:t>
      </w:r>
      <w:r>
        <w:t xml:space="preserve"> </w:t>
      </w:r>
      <w:r>
        <w:t xml:space="preserve">- AI decisioning thresholds or policy enforcement rules</w:t>
      </w:r>
    </w:p>
    <w:p>
      <w:pPr>
        <w:pStyle w:val="BodyText"/>
      </w:pPr>
      <w:r>
        <w:t xml:space="preserve">The experimentation framework operates without impacting the production baseline, ensuring that new experiences can be evaluated safely before broader rollout. Attribution, monetization, performance metrics, and user engagement data are tracked independently for each experiment and compared against baseline metrics.</w:t>
      </w:r>
    </w:p>
    <w:p>
      <w:pPr>
        <w:pStyle w:val="BodyText"/>
      </w:pPr>
      <w:r>
        <w:t xml:space="preserve">Results from A/B testing are fed back into the AI decision engine to inform future auction strategies, experience selection, and lifecycle optimization while maintaining strict separation between experimental and production data.</w:t>
      </w:r>
    </w:p>
    <w:p>
      <w:pPr>
        <w:pStyle w:val="Compact"/>
        <w:numPr>
          <w:ilvl w:val="0"/>
          <w:numId w:val="1015"/>
        </w:numPr>
      </w:pPr>
      <w:r>
        <w:t xml:space="preserve">Strategic and Economic Impact</w:t>
      </w:r>
    </w:p>
    <w:p>
      <w:pPr>
        <w:pStyle w:val="FirstParagraph"/>
      </w:pPr>
      <w:r>
        <w:t xml:space="preserve">This invention transforms the carrier into the operator of multiple, AI-governed digital markets embedded directly within the mobile device experience.</w:t>
      </w:r>
    </w:p>
    <w:p>
      <w:pPr>
        <w:pStyle w:val="BodyText"/>
      </w:pPr>
      <w:r>
        <w:t xml:space="preserve">By controlling consent, auctions, surfaces, execution, attribution, and experimentation at the network and system layers, the carrier gains durable leverage over mobile commerce economics that cannot be replicated by application-level advertising platforms.</w:t>
      </w:r>
    </w:p>
    <w:p>
      <w:pPr>
        <w:pStyle w:val="BodyText"/>
      </w:pPr>
      <w:r>
        <w:t xml:space="preserve">End of Patent Briefing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2026-01-26T07:38:57Z</dcterms:created>
  <dcterms:modified xsi:type="dcterms:W3CDTF">2026-01-26T07:38:57Z</dcterms:modified>
</cp:coreProperties>
</file>

<file path=docProps/custom.xml><?xml version="1.0" encoding="utf-8"?>
<Properties xmlns="http://schemas.openxmlformats.org/officeDocument/2006/custom-properties" xmlns:vt="http://schemas.openxmlformats.org/officeDocument/2006/docPropsVTypes"/>
</file>