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CLAIMS-TO-BRIEFING TRACEABILITY MATRIX</w:t>
      </w:r>
    </w:p>
    <w:p>
      <w:pPr>
        <w:pStyle w:val="BodyText"/>
      </w:pPr>
      <w:r>
        <w:t xml:space="preserve">Title:</w:t>
      </w:r>
      <w:r>
        <w:t xml:space="preserve"> </w:t>
      </w:r>
      <w:r>
        <w:t xml:space="preserve">Dynamic Carrier-Managed eCommerce Advertisement and Auction Control System</w:t>
      </w:r>
    </w:p>
    <w:p>
      <w:pPr>
        <w:pStyle w:val="BodyText"/>
      </w:pPr>
      <w:r>
        <w:t xml:space="preserve">Author:</w:t>
      </w:r>
      <w:r>
        <w:t xml:space="preserve"> </w:t>
      </w:r>
      <w:r>
        <w:t xml:space="preserve">Bill McCracken, Principal Product Architect, T-Mobile, T-Ads</w:t>
      </w:r>
      <w:r>
        <w:t xml:space="preserve"> </w:t>
      </w:r>
      <w:r>
        <w:t xml:space="preserve">(c) 2025 – Proprietary and Confidential – Do Not Copy</w:t>
      </w:r>
    </w:p>
    <w:p>
      <w:pPr>
        <w:pStyle w:val="Compact"/>
        <w:numPr>
          <w:ilvl w:val="0"/>
          <w:numId w:val="1001"/>
        </w:numPr>
      </w:pPr>
      <w:r>
        <w:t xml:space="preserve">Purpose</w:t>
      </w:r>
    </w:p>
    <w:p>
      <w:pPr>
        <w:pStyle w:val="FirstParagraph"/>
      </w:pPr>
      <w:r>
        <w:t xml:space="preserve">This document maps each independent and dependent patent claim to the corresponding sections of the Patent Briefing. The objective is to demonstrate full written description support, enablement, and internal consistency between claims and specification-level narrative.</w:t>
      </w:r>
    </w:p>
    <w:p>
      <w:pPr>
        <w:pStyle w:val="Compact"/>
        <w:numPr>
          <w:ilvl w:val="0"/>
          <w:numId w:val="1002"/>
        </w:numPr>
      </w:pPr>
      <w:r>
        <w:t xml:space="preserve">Independent Claim Mapping</w:t>
      </w:r>
    </w:p>
    <w:p>
      <w:pPr>
        <w:pStyle w:val="FirstParagraph"/>
      </w:pPr>
      <w:r>
        <w:t xml:space="preserve">Claim 1 – Carrier-Controlled Auction and Commerce Platform</w:t>
      </w:r>
    </w:p>
    <w:p>
      <w:pPr>
        <w:pStyle w:val="BodyText"/>
      </w:pPr>
      <w:r>
        <w:t xml:space="preserve">Supported By:</w:t>
      </w:r>
      <w:r>
        <w:t xml:space="preserve"> </w:t>
      </w:r>
      <w:r>
        <w:t xml:space="preserve">- Patent Briefing Section 1: Patent Overview</w:t>
      </w:r>
      <w:r>
        <w:t xml:space="preserve"> </w:t>
      </w:r>
      <w:r>
        <w:t xml:space="preserve">- Patent Briefing Section 3: Stand-Alone Consent and Control Application</w:t>
      </w:r>
      <w:r>
        <w:t xml:space="preserve"> </w:t>
      </w:r>
      <w:r>
        <w:t xml:space="preserve">- Patent Briefing Section 4: Dual Auction Domain Architecture</w:t>
      </w:r>
      <w:r>
        <w:t xml:space="preserve"> </w:t>
      </w:r>
      <w:r>
        <w:t xml:space="preserve">- Patent Briefing Section 5: Mandatory Separation of Monetization and Attribution</w:t>
      </w:r>
      <w:r>
        <w:t xml:space="preserve"> </w:t>
      </w:r>
      <w:r>
        <w:t xml:space="preserve">- Patent Briefing Section 6: Multi-Broker, Neutral Auction Control</w:t>
      </w:r>
      <w:r>
        <w:t xml:space="preserve"> </w:t>
      </w:r>
      <w:r>
        <w:t xml:space="preserve">- Patent Briefing Section 7 / 7.1: AI-Driven Bid Intelligence and First-Party Intelligence</w:t>
      </w:r>
      <w:r>
        <w:t xml:space="preserve"> </w:t>
      </w:r>
      <w:r>
        <w:t xml:space="preserve">- Patent Briefing Section 9 / 9.1 / 9.2: Execution Boundary, Parental Controls, and Restriction Enforcement</w:t>
      </w:r>
    </w:p>
    <w:p>
      <w:pPr>
        <w:pStyle w:val="BodyText"/>
      </w:pPr>
      <w:r>
        <w:t xml:space="preserve">Claim 1 Core Concepts Verified:</w:t>
      </w:r>
      <w:r>
        <w:t xml:space="preserve"> </w:t>
      </w:r>
      <w:r>
        <w:t xml:space="preserve">- Carrier-operated control plane</w:t>
      </w:r>
      <w:r>
        <w:t xml:space="preserve"> </w:t>
      </w:r>
      <w:r>
        <w:t xml:space="preserve">- Consent gating prior to auction</w:t>
      </w:r>
      <w:r>
        <w:t xml:space="preserve"> </w:t>
      </w:r>
      <w:r>
        <w:t xml:space="preserve">- AI-driven eligibility and pricing</w:t>
      </w:r>
      <w:r>
        <w:t xml:space="preserve"> </w:t>
      </w:r>
      <w:r>
        <w:t xml:space="preserve">- Separation of auction determination and execution</w:t>
      </w:r>
    </w:p>
    <w:p>
      <w:pPr>
        <w:pStyle w:val="BodyText"/>
      </w:pPr>
      <w:r>
        <w:t xml:space="preserve">Claim 19 – Carrier-Operated Multi-Market Digital Exchange</w:t>
      </w:r>
    </w:p>
    <w:p>
      <w:pPr>
        <w:pStyle w:val="BodyText"/>
      </w:pPr>
      <w:r>
        <w:t xml:space="preserve">Supported By:</w:t>
      </w:r>
      <w:r>
        <w:t xml:space="preserve"> </w:t>
      </w:r>
      <w:r>
        <w:t xml:space="preserve">- Patent Briefing Section 4: Dual Auction Domain Architecture</w:t>
      </w:r>
      <w:r>
        <w:t xml:space="preserve"> </w:t>
      </w:r>
      <w:r>
        <w:t xml:space="preserve">- Patent Briefing Section 5: Domain-Separated Monetization</w:t>
      </w:r>
      <w:r>
        <w:t xml:space="preserve"> </w:t>
      </w:r>
      <w:r>
        <w:t xml:space="preserve">- Patent Briefing Section 6: Multi-Broker Neutral Exchange</w:t>
      </w:r>
      <w:r>
        <w:t xml:space="preserve"> </w:t>
      </w:r>
      <w:r>
        <w:t xml:space="preserve">- Patent Briefing Section 7: Market Learning and Optimization</w:t>
      </w:r>
      <w:r>
        <w:t xml:space="preserve"> </w:t>
      </w:r>
      <w:r>
        <w:t xml:space="preserve">- Patent Briefing Section 10: A/B Testing and Controlled Experimentation</w:t>
      </w:r>
      <w:r>
        <w:t xml:space="preserve"> </w:t>
      </w:r>
      <w:r>
        <w:t xml:space="preserve">- Patent Briefing Section 11: Strategic and Economic Impact</w:t>
      </w:r>
    </w:p>
    <w:p>
      <w:pPr>
        <w:pStyle w:val="BodyText"/>
      </w:pPr>
      <w:r>
        <w:t xml:space="preserve">Claim 19 Core Concepts Verified:</w:t>
      </w:r>
      <w:r>
        <w:t xml:space="preserve"> </w:t>
      </w:r>
      <w:r>
        <w:t xml:space="preserve">- Multiple independent digital markets</w:t>
      </w:r>
      <w:r>
        <w:t xml:space="preserve"> </w:t>
      </w:r>
      <w:r>
        <w:t xml:space="preserve">- Market-level governance by carrier</w:t>
      </w:r>
      <w:r>
        <w:t xml:space="preserve"> </w:t>
      </w:r>
      <w:r>
        <w:t xml:space="preserve">- Independent pricing and accounting</w:t>
      </w:r>
      <w:r>
        <w:t xml:space="preserve"> </w:t>
      </w:r>
      <w:r>
        <w:t xml:space="preserve">- Policy enforcement prior to participation</w:t>
      </w:r>
    </w:p>
    <w:p>
      <w:pPr>
        <w:pStyle w:val="Compact"/>
        <w:numPr>
          <w:ilvl w:val="0"/>
          <w:numId w:val="1003"/>
        </w:numPr>
      </w:pPr>
      <w:r>
        <w:t xml:space="preserve">Dependent Claim Mapping</w:t>
      </w:r>
    </w:p>
    <w:p>
      <w:pPr>
        <w:pStyle w:val="FirstParagraph"/>
      </w:pPr>
      <w:r>
        <w:t xml:space="preserve">Claim 4 – Dual Auction Domains</w:t>
      </w:r>
      <w:r>
        <w:t xml:space="preserve"> </w:t>
      </w:r>
      <w:r>
        <w:t xml:space="preserve">Supported By:</w:t>
      </w:r>
      <w:r>
        <w:t xml:space="preserve"> </w:t>
      </w:r>
      <w:r>
        <w:t xml:space="preserve">- Patent Briefing Section 4</w:t>
      </w:r>
    </w:p>
    <w:p>
      <w:pPr>
        <w:pStyle w:val="BodyText"/>
      </w:pPr>
      <w:r>
        <w:t xml:space="preserve">Claim 5 – Domain-Separated Monetization and Attribution</w:t>
      </w:r>
      <w:r>
        <w:t xml:space="preserve"> </w:t>
      </w:r>
      <w:r>
        <w:t xml:space="preserve">Supported By:</w:t>
      </w:r>
      <w:r>
        <w:t xml:space="preserve"> </w:t>
      </w:r>
      <w:r>
        <w:t xml:space="preserve">- Patent Briefing Section 5</w:t>
      </w:r>
    </w:p>
    <w:p>
      <w:pPr>
        <w:pStyle w:val="BodyText"/>
      </w:pPr>
      <w:r>
        <w:t xml:space="preserve">Claim 6 – Install Auction Types (DAI / NAI)</w:t>
      </w:r>
      <w:r>
        <w:t xml:space="preserve"> </w:t>
      </w:r>
      <w:r>
        <w:t xml:space="preserve">Supported By:</w:t>
      </w:r>
      <w:r>
        <w:t xml:space="preserve"> </w:t>
      </w:r>
      <w:r>
        <w:t xml:space="preserve">- Patent Briefing Section 4.1</w:t>
      </w:r>
    </w:p>
    <w:p>
      <w:pPr>
        <w:pStyle w:val="BodyText"/>
      </w:pPr>
      <w:r>
        <w:t xml:space="preserve">Claim 7 – Fixed Inventory Install Auctions</w:t>
      </w:r>
      <w:r>
        <w:t xml:space="preserve"> </w:t>
      </w:r>
      <w:r>
        <w:t xml:space="preserve">Supported By:</w:t>
      </w:r>
      <w:r>
        <w:t xml:space="preserve"> </w:t>
      </w:r>
      <w:r>
        <w:t xml:space="preserve">- Patent Briefing Section 4.1</w:t>
      </w:r>
    </w:p>
    <w:p>
      <w:pPr>
        <w:pStyle w:val="BodyText"/>
      </w:pPr>
      <w:r>
        <w:t xml:space="preserve">Claim 8 – Surface Placement Auctions</w:t>
      </w:r>
      <w:r>
        <w:t xml:space="preserve"> </w:t>
      </w:r>
      <w:r>
        <w:t xml:space="preserve">Supported By:</w:t>
      </w:r>
      <w:r>
        <w:t xml:space="preserve"> </w:t>
      </w:r>
      <w:r>
        <w:t xml:space="preserve">- Patent Briefing Section 4.2</w:t>
      </w:r>
    </w:p>
    <w:p>
      <w:pPr>
        <w:pStyle w:val="BodyText"/>
      </w:pPr>
      <w:r>
        <w:t xml:space="preserve">Claim 9 – Multi-Broker Demand Participation</w:t>
      </w:r>
      <w:r>
        <w:t xml:space="preserve"> </w:t>
      </w:r>
      <w:r>
        <w:t xml:space="preserve">Supported By:</w:t>
      </w:r>
      <w:r>
        <w:t xml:space="preserve"> </w:t>
      </w:r>
      <w:r>
        <w:t xml:space="preserve">- Patent Briefing Section 6</w:t>
      </w:r>
    </w:p>
    <w:p>
      <w:pPr>
        <w:pStyle w:val="BodyText"/>
      </w:pPr>
      <w:r>
        <w:t xml:space="preserve">Claim 10 – Bid Value Optimization via Competition</w:t>
      </w:r>
      <w:r>
        <w:t xml:space="preserve"> </w:t>
      </w:r>
      <w:r>
        <w:t xml:space="preserve">Supported By:</w:t>
      </w:r>
      <w:r>
        <w:t xml:space="preserve"> </w:t>
      </w:r>
      <w:r>
        <w:t xml:space="preserve">- Patent Briefing Section 6 and Section 7</w:t>
      </w:r>
    </w:p>
    <w:p>
      <w:pPr>
        <w:pStyle w:val="BodyText"/>
      </w:pPr>
      <w:r>
        <w:t xml:space="preserve">Claim 11 – First-Party Intelligence Inputs</w:t>
      </w:r>
      <w:r>
        <w:t xml:space="preserve"> </w:t>
      </w:r>
      <w:r>
        <w:t xml:space="preserve">Supported By:</w:t>
      </w:r>
      <w:r>
        <w:t xml:space="preserve"> </w:t>
      </w:r>
      <w:r>
        <w:t xml:space="preserve">- Patent Briefing Section 7.1</w:t>
      </w:r>
    </w:p>
    <w:p>
      <w:pPr>
        <w:pStyle w:val="BodyText"/>
      </w:pPr>
      <w:r>
        <w:t xml:space="preserve">Claim 12 – Install-Class-Aware Valuation</w:t>
      </w:r>
      <w:r>
        <w:t xml:space="preserve"> </w:t>
      </w:r>
      <w:r>
        <w:t xml:space="preserve">Supported By:</w:t>
      </w:r>
      <w:r>
        <w:t xml:space="preserve"> </w:t>
      </w:r>
      <w:r>
        <w:t xml:space="preserve">- Patent Briefing Section 8</w:t>
      </w:r>
    </w:p>
    <w:p>
      <w:pPr>
        <w:pStyle w:val="BodyText"/>
      </w:pPr>
      <w:r>
        <w:t xml:space="preserve">Claim 13 – Experimentation and A/B Testing</w:t>
      </w:r>
      <w:r>
        <w:t xml:space="preserve"> </w:t>
      </w:r>
      <w:r>
        <w:t xml:space="preserve">Supported By:</w:t>
      </w:r>
      <w:r>
        <w:t xml:space="preserve"> </w:t>
      </w:r>
      <w:r>
        <w:t xml:space="preserve">- Patent Briefing Section 10</w:t>
      </w:r>
    </w:p>
    <w:p>
      <w:pPr>
        <w:pStyle w:val="BodyText"/>
      </w:pPr>
      <w:r>
        <w:t xml:space="preserve">Claim 14 – Parental Controls and Children’s Privacy Enforcement</w:t>
      </w:r>
      <w:r>
        <w:t xml:space="preserve"> </w:t>
      </w:r>
      <w:r>
        <w:t xml:space="preserve">Supported By:</w:t>
      </w:r>
      <w:r>
        <w:t xml:space="preserve"> </w:t>
      </w:r>
      <w:r>
        <w:t xml:space="preserve">- Patent Briefing Section 9.1</w:t>
      </w:r>
    </w:p>
    <w:p>
      <w:pPr>
        <w:pStyle w:val="BodyText"/>
      </w:pPr>
      <w:r>
        <w:t xml:space="preserve">Claim 15 – Jurisdiction-Aware Compliance Enforcement</w:t>
      </w:r>
      <w:r>
        <w:t xml:space="preserve"> </w:t>
      </w:r>
      <w:r>
        <w:t xml:space="preserve">Supported By:</w:t>
      </w:r>
      <w:r>
        <w:t xml:space="preserve"> </w:t>
      </w:r>
      <w:r>
        <w:t xml:space="preserve">- Patent Briefing Section 9.1</w:t>
      </w:r>
    </w:p>
    <w:p>
      <w:pPr>
        <w:pStyle w:val="BodyText"/>
      </w:pPr>
      <w:r>
        <w:t xml:space="preserve">Claim 16 – Walled Garden Enforcement</w:t>
      </w:r>
      <w:r>
        <w:t xml:space="preserve"> </w:t>
      </w:r>
      <w:r>
        <w:t xml:space="preserve">Supported By:</w:t>
      </w:r>
      <w:r>
        <w:t xml:space="preserve"> </w:t>
      </w:r>
      <w:r>
        <w:t xml:space="preserve">- Patent Briefing Section 9.1</w:t>
      </w:r>
    </w:p>
    <w:p>
      <w:pPr>
        <w:pStyle w:val="BodyText"/>
      </w:pPr>
      <w:r>
        <w:t xml:space="preserve">Claim 17 – Supplier Restrictions</w:t>
      </w:r>
      <w:r>
        <w:t xml:space="preserve"> </w:t>
      </w:r>
      <w:r>
        <w:t xml:space="preserve">Supported By:</w:t>
      </w:r>
      <w:r>
        <w:t xml:space="preserve"> </w:t>
      </w:r>
      <w:r>
        <w:t xml:space="preserve">- Patent Briefing Section 9.2</w:t>
      </w:r>
    </w:p>
    <w:p>
      <w:pPr>
        <w:pStyle w:val="BodyText"/>
      </w:pPr>
      <w:r>
        <w:t xml:space="preserve">Claim 18 – Upstream Restriction Evaluation</w:t>
      </w:r>
      <w:r>
        <w:t xml:space="preserve"> </w:t>
      </w:r>
      <w:r>
        <w:t xml:space="preserve">Supported By:</w:t>
      </w:r>
      <w:r>
        <w:t xml:space="preserve"> </w:t>
      </w:r>
      <w:r>
        <w:t xml:space="preserve">- Patent Briefing Section 9.2</w:t>
      </w:r>
    </w:p>
    <w:p>
      <w:pPr>
        <w:pStyle w:val="Compact"/>
        <w:numPr>
          <w:ilvl w:val="0"/>
          <w:numId w:val="1004"/>
        </w:numPr>
      </w:pPr>
      <w:r>
        <w:t xml:space="preserve">Enablement Assessment</w:t>
      </w:r>
    </w:p>
    <w:p>
      <w:pPr>
        <w:pStyle w:val="FirstParagraph"/>
      </w:pPr>
      <w:r>
        <w:t xml:space="preserve">Each claim element is supported by explicit descriptive text within the Patent Briefing. No claim relies solely on implied behavior or unstated system capabilities.</w:t>
      </w:r>
    </w:p>
    <w:p>
      <w:pPr>
        <w:pStyle w:val="BodyText"/>
      </w:pPr>
      <w:r>
        <w:t xml:space="preserve">End of Claims-to-Briefing Traceability Matrix</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2026-01-26T08:51:38Z</dcterms:created>
  <dcterms:modified xsi:type="dcterms:W3CDTF">2026-01-26T08:51:38Z</dcterms:modified>
</cp:coreProperties>
</file>

<file path=docProps/custom.xml><?xml version="1.0" encoding="utf-8"?>
<Properties xmlns="http://schemas.openxmlformats.org/officeDocument/2006/custom-properties" xmlns:vt="http://schemas.openxmlformats.org/officeDocument/2006/docPropsVTypes"/>
</file>