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CORE VS CONTINUATION PATENT STRATEGY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Dynamic Carrier-Managed eCommerce Advertisement and Auction Control System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Bill McCracken, Principal Product Architect, T-Mobile, T-Ads</w:t>
      </w:r>
      <w:r>
        <w:t xml:space="preserve"> </w:t>
      </w:r>
      <w:r>
        <w:t xml:space="preserve">913-707-1075</w:t>
      </w:r>
      <w:r>
        <w:t xml:space="preserve"> </w:t>
      </w:r>
      <w:r>
        <w:t xml:space="preserve">bill.g.mccracken@t-mobile.com</w:t>
      </w:r>
      <w:r>
        <w:t xml:space="preserve"> </w:t>
      </w:r>
      <w:r>
        <w:t xml:space="preserve">(c) 2025 – Proprietary and Confidential – Do Not Copy</w:t>
      </w:r>
    </w:p>
    <w:p>
      <w:pPr>
        <w:pStyle w:val="BodyText"/>
      </w:pPr>
      <w:r>
        <w:t xml:space="preserve">Invention Date:</w:t>
      </w:r>
      <w:r>
        <w:t xml:space="preserve"> </w:t>
      </w:r>
      <w:r>
        <w:t xml:space="preserve">[Previously established and preserved as canonical]</w:t>
      </w:r>
    </w:p>
    <w:p>
      <w:pPr>
        <w:pStyle w:val="Compact"/>
        <w:numPr>
          <w:ilvl w:val="0"/>
          <w:numId w:val="1001"/>
        </w:numPr>
      </w:pPr>
      <w:r>
        <w:t xml:space="preserve">Purpose of This Document</w:t>
      </w:r>
    </w:p>
    <w:p>
      <w:pPr>
        <w:pStyle w:val="FirstParagraph"/>
      </w:pPr>
      <w:r>
        <w:t xml:space="preserve">This document defines the strategic separation between core patent claims and continuation-only subject matter for the Dynamic Carrier-Managed eCommerce Advertisement invention. The objective is to maximize near-term patent grant probability while preserving long-term leverage through continuation filings.</w:t>
      </w:r>
    </w:p>
    <w:p>
      <w:pPr>
        <w:pStyle w:val="BodyText"/>
      </w:pPr>
      <w:r>
        <w:t xml:space="preserve">The strategy assumes an initial filing followed by one or more continuation or continuation-in-part (CIP) applications.</w:t>
      </w:r>
    </w:p>
    <w:p>
      <w:pPr>
        <w:pStyle w:val="Compact"/>
        <w:numPr>
          <w:ilvl w:val="0"/>
          <w:numId w:val="1002"/>
        </w:numPr>
      </w:pPr>
      <w:r>
        <w:t xml:space="preserve">Core Patent Scope (Must-Win Claims)</w:t>
      </w:r>
    </w:p>
    <w:p>
      <w:pPr>
        <w:pStyle w:val="FirstParagraph"/>
      </w:pPr>
      <w:r>
        <w:t xml:space="preserve">The following elements are designated as core patent subject matter. These elements define the irreducible novelty of the invention and must be included in the initial filing.</w:t>
      </w:r>
    </w:p>
    <w:p>
      <w:pPr>
        <w:pStyle w:val="BodyText"/>
      </w:pPr>
      <w:r>
        <w:t xml:space="preserve">2.1 Carrier-Controlled Ad Layer as Control Plane</w:t>
      </w:r>
    </w:p>
    <w:p>
      <w:pPr>
        <w:pStyle w:val="Compact"/>
        <w:numPr>
          <w:ilvl w:val="0"/>
          <w:numId w:val="1003"/>
        </w:numPr>
      </w:pPr>
      <w:r>
        <w:t xml:space="preserve">An ad layer operated under exclusive control of a mobile network operator</w:t>
      </w:r>
    </w:p>
    <w:p>
      <w:pPr>
        <w:pStyle w:val="Compact"/>
        <w:numPr>
          <w:ilvl w:val="0"/>
          <w:numId w:val="1003"/>
        </w:numPr>
      </w:pPr>
      <w:r>
        <w:t xml:space="preserve">Operation outside of application-level SDKs</w:t>
      </w:r>
    </w:p>
    <w:p>
      <w:pPr>
        <w:pStyle w:val="Compact"/>
        <w:numPr>
          <w:ilvl w:val="0"/>
          <w:numId w:val="1003"/>
        </w:numPr>
      </w:pPr>
      <w:r>
        <w:t xml:space="preserve">Integration with carrier billing, subscriber identity, and network management systems</w:t>
      </w:r>
    </w:p>
    <w:p>
      <w:pPr>
        <w:pStyle w:val="FirstParagraph"/>
      </w:pPr>
      <w:r>
        <w:t xml:space="preserve">This establishes carrier authority and prevents app-level imitation.</w:t>
      </w:r>
    </w:p>
    <w:p>
      <w:pPr>
        <w:pStyle w:val="BodyText"/>
      </w:pPr>
      <w:r>
        <w:t xml:space="preserve">2.2 Stand-Alone Consent Management</w:t>
      </w:r>
    </w:p>
    <w:p>
      <w:pPr>
        <w:pStyle w:val="Compact"/>
        <w:numPr>
          <w:ilvl w:val="0"/>
          <w:numId w:val="1004"/>
        </w:numPr>
      </w:pPr>
      <w:r>
        <w:t xml:space="preserve">Explicit consent acquisition and revocation via a carrier-managed application</w:t>
      </w:r>
    </w:p>
    <w:p>
      <w:pPr>
        <w:pStyle w:val="Compact"/>
        <w:numPr>
          <w:ilvl w:val="0"/>
          <w:numId w:val="1004"/>
        </w:numPr>
      </w:pPr>
      <w:r>
        <w:t xml:space="preserve">Mandatory consent gating prior to any auction participation or execution</w:t>
      </w:r>
    </w:p>
    <w:p>
      <w:pPr>
        <w:pStyle w:val="FirstParagraph"/>
      </w:pPr>
      <w:r>
        <w:t xml:space="preserve">This is required for regulatory defensibility and system legitimacy.</w:t>
      </w:r>
    </w:p>
    <w:p>
      <w:pPr>
        <w:pStyle w:val="BodyText"/>
      </w:pPr>
      <w:r>
        <w:t xml:space="preserve">2.3 Dual Auction Domains</w:t>
      </w:r>
    </w:p>
    <w:p>
      <w:pPr>
        <w:pStyle w:val="Compact"/>
        <w:numPr>
          <w:ilvl w:val="0"/>
          <w:numId w:val="1005"/>
        </w:numPr>
      </w:pPr>
      <w:r>
        <w:t xml:space="preserve">Install Auction Domain (DAI and NAI)</w:t>
      </w:r>
    </w:p>
    <w:p>
      <w:pPr>
        <w:pStyle w:val="Compact"/>
        <w:numPr>
          <w:ilvl w:val="0"/>
          <w:numId w:val="1005"/>
        </w:numPr>
      </w:pPr>
      <w:r>
        <w:t xml:space="preserve">Surface / Ad Placement Auction Domain</w:t>
      </w:r>
    </w:p>
    <w:p>
      <w:pPr>
        <w:pStyle w:val="FirstParagraph"/>
      </w:pPr>
      <w:r>
        <w:t xml:space="preserve">Both domains must be claimed as independent markets with distinct outcomes.</w:t>
      </w:r>
    </w:p>
    <w:p>
      <w:pPr>
        <w:pStyle w:val="BodyText"/>
      </w:pPr>
      <w:r>
        <w:t xml:space="preserve">2.4 Domain-Separated Monetization and Attribution</w:t>
      </w:r>
    </w:p>
    <w:p>
      <w:pPr>
        <w:pStyle w:val="Compact"/>
        <w:numPr>
          <w:ilvl w:val="0"/>
          <w:numId w:val="1006"/>
        </w:numPr>
      </w:pPr>
      <w:r>
        <w:t xml:space="preserve">Independent pricing, attribution, reporting, and revenue accounting per auction domain</w:t>
      </w:r>
    </w:p>
    <w:p>
      <w:pPr>
        <w:pStyle w:val="Compact"/>
        <w:numPr>
          <w:ilvl w:val="0"/>
          <w:numId w:val="1006"/>
        </w:numPr>
      </w:pPr>
      <w:r>
        <w:t xml:space="preserve">Prohibition on metric co-mingling</w:t>
      </w:r>
    </w:p>
    <w:p>
      <w:pPr>
        <w:pStyle w:val="FirstParagraph"/>
      </w:pPr>
      <w:r>
        <w:t xml:space="preserve">This is a defining architectural distinction from prior art.</w:t>
      </w:r>
    </w:p>
    <w:p>
      <w:pPr>
        <w:pStyle w:val="BodyText"/>
      </w:pPr>
      <w:r>
        <w:t xml:space="preserve">2.5 Multi-Broker Neutral Exchange</w:t>
      </w:r>
    </w:p>
    <w:p>
      <w:pPr>
        <w:pStyle w:val="Compact"/>
        <w:numPr>
          <w:ilvl w:val="0"/>
          <w:numId w:val="1007"/>
        </w:numPr>
      </w:pPr>
      <w:r>
        <w:t xml:space="preserve">Simultaneous participation by multiple independent demand-side vendors</w:t>
      </w:r>
    </w:p>
    <w:p>
      <w:pPr>
        <w:pStyle w:val="Compact"/>
        <w:numPr>
          <w:ilvl w:val="0"/>
          <w:numId w:val="1007"/>
        </w:numPr>
      </w:pPr>
      <w:r>
        <w:t xml:space="preserve">Carrier-operated auction governance</w:t>
      </w:r>
    </w:p>
    <w:p>
      <w:pPr>
        <w:pStyle w:val="Compact"/>
        <w:numPr>
          <w:ilvl w:val="0"/>
          <w:numId w:val="1007"/>
        </w:numPr>
      </w:pPr>
      <w:r>
        <w:t xml:space="preserve">Prevention of single-broker bid suppression</w:t>
      </w:r>
    </w:p>
    <w:p>
      <w:pPr>
        <w:pStyle w:val="FirstParagraph"/>
      </w:pPr>
      <w:r>
        <w:t xml:space="preserve">This establishes the carrier as a market operator.</w:t>
      </w:r>
    </w:p>
    <w:p>
      <w:pPr>
        <w:pStyle w:val="BodyText"/>
      </w:pPr>
      <w:r>
        <w:t xml:space="preserve">2.6 Upstream Policy and Legal Enforcement</w:t>
      </w:r>
    </w:p>
    <w:p>
      <w:pPr>
        <w:pStyle w:val="Compact"/>
        <w:numPr>
          <w:ilvl w:val="0"/>
          <w:numId w:val="1008"/>
        </w:numPr>
      </w:pPr>
      <w:r>
        <w:t xml:space="preserve">Consent, parental controls, jurisdictional compliance, supplier restrictions</w:t>
      </w:r>
    </w:p>
    <w:p>
      <w:pPr>
        <w:pStyle w:val="Compact"/>
        <w:numPr>
          <w:ilvl w:val="0"/>
          <w:numId w:val="1008"/>
        </w:numPr>
      </w:pPr>
      <w:r>
        <w:t xml:space="preserve">Evaluation prior to bidding</w:t>
      </w:r>
    </w:p>
    <w:p>
      <w:pPr>
        <w:pStyle w:val="FirstParagraph"/>
      </w:pPr>
      <w:r>
        <w:t xml:space="preserve">This ensures enforceability and regulatory alignment.</w:t>
      </w:r>
    </w:p>
    <w:p>
      <w:pPr>
        <w:pStyle w:val="BodyText"/>
      </w:pPr>
      <w:r>
        <w:t xml:space="preserve">2.7 Execution Boundary</w:t>
      </w:r>
    </w:p>
    <w:p>
      <w:pPr>
        <w:pStyle w:val="Compact"/>
        <w:numPr>
          <w:ilvl w:val="0"/>
          <w:numId w:val="1009"/>
        </w:numPr>
      </w:pPr>
      <w:r>
        <w:t xml:space="preserve">Separation between auction determination and execution agents</w:t>
      </w:r>
    </w:p>
    <w:p>
      <w:pPr>
        <w:pStyle w:val="Compact"/>
        <w:numPr>
          <w:ilvl w:val="0"/>
          <w:numId w:val="1009"/>
        </w:numPr>
      </w:pPr>
      <w:r>
        <w:t xml:space="preserve">Auditability and non-repudiation</w:t>
      </w:r>
    </w:p>
    <w:p>
      <w:pPr>
        <w:pStyle w:val="FirstParagraph"/>
      </w:pPr>
      <w:r>
        <w:t xml:space="preserve">This blocks execution-layer design-arounds.</w:t>
      </w:r>
    </w:p>
    <w:p>
      <w:pPr>
        <w:pStyle w:val="Compact"/>
        <w:numPr>
          <w:ilvl w:val="0"/>
          <w:numId w:val="1010"/>
        </w:numPr>
      </w:pPr>
      <w:r>
        <w:t xml:space="preserve">Continuation Candidate Scope (Strategic Expansion)</w:t>
      </w:r>
    </w:p>
    <w:p>
      <w:pPr>
        <w:pStyle w:val="FirstParagraph"/>
      </w:pPr>
      <w:r>
        <w:t xml:space="preserve">The following elements are strategically valuable but may be deferred to continuation filings to preserve optionality and reduce initial examination complexity.</w:t>
      </w:r>
    </w:p>
    <w:p>
      <w:pPr>
        <w:pStyle w:val="BodyText"/>
      </w:pPr>
      <w:r>
        <w:t xml:space="preserve">3.1 Advanced AI Pricing and Optimization Logic</w:t>
      </w:r>
    </w:p>
    <w:p>
      <w:pPr>
        <w:pStyle w:val="Compact"/>
        <w:numPr>
          <w:ilvl w:val="0"/>
          <w:numId w:val="1011"/>
        </w:numPr>
      </w:pPr>
      <w:r>
        <w:t xml:space="preserve">Predictive lifetime value modeling</w:t>
      </w:r>
    </w:p>
    <w:p>
      <w:pPr>
        <w:pStyle w:val="Compact"/>
        <w:numPr>
          <w:ilvl w:val="0"/>
          <w:numId w:val="1011"/>
        </w:numPr>
      </w:pPr>
      <w:r>
        <w:t xml:space="preserve">Retention-based reserve pricing</w:t>
      </w:r>
    </w:p>
    <w:p>
      <w:pPr>
        <w:pStyle w:val="Compact"/>
        <w:numPr>
          <w:ilvl w:val="0"/>
          <w:numId w:val="1011"/>
        </w:numPr>
      </w:pPr>
      <w:r>
        <w:t xml:space="preserve">Vendor-specific performance weighting</w:t>
      </w:r>
    </w:p>
    <w:p>
      <w:pPr>
        <w:pStyle w:val="Compact"/>
        <w:numPr>
          <w:ilvl w:val="0"/>
          <w:numId w:val="1011"/>
        </w:numPr>
      </w:pPr>
      <w:r>
        <w:t xml:space="preserve">Dynamic bid exposure shaping</w:t>
      </w:r>
    </w:p>
    <w:p>
      <w:pPr>
        <w:pStyle w:val="FirstParagraph"/>
      </w:pPr>
      <w:r>
        <w:t xml:space="preserve">These strengthen monetization leverage and can be expanded later.</w:t>
      </w:r>
    </w:p>
    <w:p>
      <w:pPr>
        <w:pStyle w:val="BodyText"/>
      </w:pPr>
      <w:r>
        <w:t xml:space="preserve">3.2 Experimentation and A/B Testing Infrastructure</w:t>
      </w:r>
    </w:p>
    <w:p>
      <w:pPr>
        <w:pStyle w:val="Compact"/>
        <w:numPr>
          <w:ilvl w:val="0"/>
          <w:numId w:val="1012"/>
        </w:numPr>
      </w:pPr>
      <w:r>
        <w:t xml:space="preserve">Large-scale cohort management</w:t>
      </w:r>
    </w:p>
    <w:p>
      <w:pPr>
        <w:pStyle w:val="Compact"/>
        <w:numPr>
          <w:ilvl w:val="0"/>
          <w:numId w:val="1012"/>
        </w:numPr>
      </w:pPr>
      <w:r>
        <w:t xml:space="preserve">Long-running experiments</w:t>
      </w:r>
    </w:p>
    <w:p>
      <w:pPr>
        <w:pStyle w:val="Compact"/>
        <w:numPr>
          <w:ilvl w:val="0"/>
          <w:numId w:val="1012"/>
        </w:numPr>
      </w:pPr>
      <w:r>
        <w:t xml:space="preserve">Incrementality measurement</w:t>
      </w:r>
    </w:p>
    <w:p>
      <w:pPr>
        <w:pStyle w:val="Compact"/>
        <w:numPr>
          <w:ilvl w:val="0"/>
          <w:numId w:val="1012"/>
        </w:numPr>
      </w:pPr>
      <w:r>
        <w:t xml:space="preserve">Automated policy experimentation</w:t>
      </w:r>
    </w:p>
    <w:p>
      <w:pPr>
        <w:pStyle w:val="FirstParagraph"/>
      </w:pPr>
      <w:r>
        <w:t xml:space="preserve">These are powerful differentiators but not required for initial novelty.</w:t>
      </w:r>
    </w:p>
    <w:p>
      <w:pPr>
        <w:pStyle w:val="BodyText"/>
      </w:pPr>
      <w:r>
        <w:t xml:space="preserve">3.3 Deep Application Lifecycle Intelligence</w:t>
      </w:r>
    </w:p>
    <w:p>
      <w:pPr>
        <w:pStyle w:val="Compact"/>
        <w:numPr>
          <w:ilvl w:val="0"/>
          <w:numId w:val="1013"/>
        </w:numPr>
      </w:pPr>
      <w:r>
        <w:t xml:space="preserve">Cross-device and longitudinal app usage histories</w:t>
      </w:r>
    </w:p>
    <w:p>
      <w:pPr>
        <w:pStyle w:val="Compact"/>
        <w:numPr>
          <w:ilvl w:val="0"/>
          <w:numId w:val="1013"/>
        </w:numPr>
      </w:pPr>
      <w:r>
        <w:t xml:space="preserve">Install source comparison analytics</w:t>
      </w:r>
    </w:p>
    <w:p>
      <w:pPr>
        <w:pStyle w:val="Compact"/>
        <w:numPr>
          <w:ilvl w:val="0"/>
          <w:numId w:val="1013"/>
        </w:numPr>
      </w:pPr>
      <w:r>
        <w:t xml:space="preserve">Churn and deletion timing models</w:t>
      </w:r>
    </w:p>
    <w:p>
      <w:pPr>
        <w:pStyle w:val="Compact"/>
        <w:numPr>
          <w:ilvl w:val="0"/>
          <w:numId w:val="1013"/>
        </w:numPr>
      </w:pPr>
      <w:r>
        <w:t xml:space="preserve">Category correlation graphs</w:t>
      </w:r>
    </w:p>
    <w:p>
      <w:pPr>
        <w:pStyle w:val="FirstParagraph"/>
      </w:pPr>
      <w:r>
        <w:t xml:space="preserve">These support advanced AI claims best suited for continuation.</w:t>
      </w:r>
    </w:p>
    <w:p>
      <w:pPr>
        <w:pStyle w:val="BodyText"/>
      </w:pPr>
      <w:r>
        <w:t xml:space="preserve">3.4 Policy-as-a-Service Extensions</w:t>
      </w:r>
    </w:p>
    <w:p>
      <w:pPr>
        <w:pStyle w:val="Compact"/>
        <w:numPr>
          <w:ilvl w:val="0"/>
          <w:numId w:val="1014"/>
        </w:numPr>
      </w:pPr>
      <w:r>
        <w:t xml:space="preserve">Dynamic regulatory updates</w:t>
      </w:r>
    </w:p>
    <w:p>
      <w:pPr>
        <w:pStyle w:val="Compact"/>
        <w:numPr>
          <w:ilvl w:val="0"/>
          <w:numId w:val="1014"/>
        </w:numPr>
      </w:pPr>
      <w:r>
        <w:t xml:space="preserve">Enterprise or government policy overlays</w:t>
      </w:r>
    </w:p>
    <w:p>
      <w:pPr>
        <w:pStyle w:val="Compact"/>
        <w:numPr>
          <w:ilvl w:val="0"/>
          <w:numId w:val="1014"/>
        </w:numPr>
      </w:pPr>
      <w:r>
        <w:t xml:space="preserve">OEM-specific enforcement profiles</w:t>
      </w:r>
    </w:p>
    <w:p>
      <w:pPr>
        <w:pStyle w:val="FirstParagraph"/>
      </w:pPr>
      <w:r>
        <w:t xml:space="preserve">These expand commercial applicability without narrowing the core patent.</w:t>
      </w:r>
    </w:p>
    <w:p>
      <w:pPr>
        <w:pStyle w:val="BodyText"/>
      </w:pPr>
      <w:r>
        <w:t xml:space="preserve">3.5 Market Expansion Variants</w:t>
      </w:r>
    </w:p>
    <w:p>
      <w:pPr>
        <w:pStyle w:val="Compact"/>
        <w:numPr>
          <w:ilvl w:val="0"/>
          <w:numId w:val="1015"/>
        </w:numPr>
      </w:pPr>
      <w:r>
        <w:t xml:space="preserve">Non-mobile devices</w:t>
      </w:r>
    </w:p>
    <w:p>
      <w:pPr>
        <w:pStyle w:val="Compact"/>
        <w:numPr>
          <w:ilvl w:val="0"/>
          <w:numId w:val="1015"/>
        </w:numPr>
      </w:pPr>
      <w:r>
        <w:t xml:space="preserve">Non-consumer environments</w:t>
      </w:r>
    </w:p>
    <w:p>
      <w:pPr>
        <w:pStyle w:val="Compact"/>
        <w:numPr>
          <w:ilvl w:val="0"/>
          <w:numId w:val="1015"/>
        </w:numPr>
      </w:pPr>
      <w:r>
        <w:t xml:space="preserve">Partner-operated exchanges under carrier authority</w:t>
      </w:r>
    </w:p>
    <w:p>
      <w:pPr>
        <w:pStyle w:val="FirstParagraph"/>
      </w:pPr>
      <w:r>
        <w:t xml:space="preserve">These can be claimed later to broaden scope.</w:t>
      </w:r>
    </w:p>
    <w:p>
      <w:pPr>
        <w:pStyle w:val="Compact"/>
        <w:numPr>
          <w:ilvl w:val="0"/>
          <w:numId w:val="1016"/>
        </w:numPr>
      </w:pPr>
      <w:r>
        <w:t xml:space="preserve">Filing and Prosecution Strategy</w:t>
      </w:r>
    </w:p>
    <w:p>
      <w:pPr>
        <w:pStyle w:val="FirstParagraph"/>
      </w:pPr>
      <w:r>
        <w:t xml:space="preserve">4.1 Initial Filing</w:t>
      </w:r>
    </w:p>
    <w:p>
      <w:pPr>
        <w:pStyle w:val="Compact"/>
        <w:numPr>
          <w:ilvl w:val="0"/>
          <w:numId w:val="1017"/>
        </w:numPr>
      </w:pPr>
      <w:r>
        <w:t xml:space="preserve">Include all Core Patent Scope elements</w:t>
      </w:r>
    </w:p>
    <w:p>
      <w:pPr>
        <w:pStyle w:val="Compact"/>
        <w:numPr>
          <w:ilvl w:val="0"/>
          <w:numId w:val="1017"/>
        </w:numPr>
      </w:pPr>
      <w:r>
        <w:t xml:space="preserve">Use broad independent claims (Claim 1 and Claim 19)</w:t>
      </w:r>
    </w:p>
    <w:p>
      <w:pPr>
        <w:pStyle w:val="Compact"/>
        <w:numPr>
          <w:ilvl w:val="0"/>
          <w:numId w:val="1017"/>
        </w:numPr>
      </w:pPr>
      <w:r>
        <w:t xml:space="preserve">Minimize examiner complexity while preserving breadth</w:t>
      </w:r>
    </w:p>
    <w:p>
      <w:pPr>
        <w:pStyle w:val="FirstParagraph"/>
      </w:pPr>
      <w:r>
        <w:t xml:space="preserve">4.2 Continuation Filings</w:t>
      </w:r>
    </w:p>
    <w:p>
      <w:pPr>
        <w:pStyle w:val="Compact"/>
        <w:numPr>
          <w:ilvl w:val="0"/>
          <w:numId w:val="1018"/>
        </w:numPr>
      </w:pPr>
      <w:r>
        <w:t xml:space="preserve">File continuation applications after initial examination feedback</w:t>
      </w:r>
    </w:p>
    <w:p>
      <w:pPr>
        <w:pStyle w:val="Compact"/>
        <w:numPr>
          <w:ilvl w:val="0"/>
          <w:numId w:val="1018"/>
        </w:numPr>
      </w:pPr>
      <w:r>
        <w:t xml:space="preserve">Expand claims into AI optimization, experimentation, and lifecycle intelligence</w:t>
      </w:r>
    </w:p>
    <w:p>
      <w:pPr>
        <w:pStyle w:val="Compact"/>
        <w:numPr>
          <w:ilvl w:val="0"/>
          <w:numId w:val="1018"/>
        </w:numPr>
      </w:pPr>
      <w:r>
        <w:t xml:space="preserve">Maintain priority date while extending protection window</w:t>
      </w:r>
    </w:p>
    <w:p>
      <w:pPr>
        <w:pStyle w:val="FirstParagraph"/>
      </w:pPr>
      <w:r>
        <w:t xml:space="preserve">4.3 Defensive Value</w:t>
      </w:r>
    </w:p>
    <w:p>
      <w:pPr>
        <w:pStyle w:val="BodyText"/>
      </w:pPr>
      <w:r>
        <w:t xml:space="preserve">This strategy:</w:t>
      </w:r>
      <w:r>
        <w:t xml:space="preserve"> </w:t>
      </w:r>
      <w:r>
        <w:t xml:space="preserve">- Increases likelihood of early allowance</w:t>
      </w:r>
      <w:r>
        <w:t xml:space="preserve"> </w:t>
      </w:r>
      <w:r>
        <w:t xml:space="preserve">- Preserves long-term monetization leverage</w:t>
      </w:r>
      <w:r>
        <w:t xml:space="preserve"> </w:t>
      </w:r>
      <w:r>
        <w:t xml:space="preserve">- Creates multiple enforcement entry points</w:t>
      </w:r>
      <w:r>
        <w:t xml:space="preserve"> </w:t>
      </w:r>
      <w:r>
        <w:t xml:space="preserve">- Prevents competitors from waiting out a single patent term</w:t>
      </w:r>
    </w:p>
    <w:p>
      <w:pPr>
        <w:pStyle w:val="BodyText"/>
      </w:pPr>
      <w:r>
        <w:t xml:space="preserve">End of Core vs Continuation Strategy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2026-01-26T08:30:51Z</dcterms:created>
  <dcterms:modified xsi:type="dcterms:W3CDTF">2026-01-26T08:30:51Z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