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PRIOR ART MAPPING AND DIFFERENTIATION ANALYSIS</w:t>
      </w:r>
    </w:p>
    <w:p>
      <w:pPr>
        <w:pStyle w:val="BodyText"/>
      </w:pPr>
      <w:r>
        <w:t xml:space="preserve">Title:</w:t>
      </w:r>
      <w:r>
        <w:t xml:space="preserve"> </w:t>
      </w:r>
      <w:r>
        <w:t xml:space="preserve">Dynamic Carrier-Managed eCommerce Advertisement and Auction Control System</w:t>
      </w:r>
    </w:p>
    <w:p>
      <w:pPr>
        <w:pStyle w:val="BodyText"/>
      </w:pPr>
      <w:r>
        <w:t xml:space="preserve">Author:</w:t>
      </w:r>
      <w:r>
        <w:t xml:space="preserve"> </w:t>
      </w:r>
      <w:r>
        <w:t xml:space="preserve">Bill McCracken, Principal Product Architect, T-Mobile, T-Ads</w:t>
      </w:r>
      <w:r>
        <w:t xml:space="preserve"> </w:t>
      </w:r>
      <w:r>
        <w:t xml:space="preserve">913-707-1075</w:t>
      </w:r>
      <w:r>
        <w:t xml:space="preserve"> </w:t>
      </w:r>
      <w:r>
        <w:t xml:space="preserve">bill.g.mccracken@t-mobile.com</w:t>
      </w:r>
      <w:r>
        <w:t xml:space="preserve"> </w:t>
      </w:r>
      <w:r>
        <w:t xml:space="preserve">(c) 2025 – Proprietary and Confidential – Do Not Copy</w:t>
      </w:r>
    </w:p>
    <w:p>
      <w:pPr>
        <w:pStyle w:val="BodyText"/>
      </w:pPr>
      <w:r>
        <w:t xml:space="preserve">Invention Date:</w:t>
      </w:r>
      <w:r>
        <w:t xml:space="preserve"> </w:t>
      </w:r>
      <w:r>
        <w:t xml:space="preserve">[Previously established and preserved as canonical]</w:t>
      </w:r>
    </w:p>
    <w:p>
      <w:pPr>
        <w:pStyle w:val="Compact"/>
        <w:numPr>
          <w:ilvl w:val="0"/>
          <w:numId w:val="1001"/>
        </w:numPr>
      </w:pPr>
      <w:r>
        <w:t xml:space="preserve">Purpose of This Document</w:t>
      </w:r>
    </w:p>
    <w:p>
      <w:pPr>
        <w:pStyle w:val="FirstParagraph"/>
      </w:pPr>
      <w:r>
        <w:t xml:space="preserve">This document identifies and differentiates the claimed invention from existing advertising, application distribution, mediation, and preload systems. The analysis focuses on architectural control, data access, policy enforcement, auction structure, and market governance, rather than surface-level feature overlap.</w:t>
      </w:r>
    </w:p>
    <w:p>
      <w:pPr>
        <w:pStyle w:val="BodyText"/>
      </w:pPr>
      <w:r>
        <w:t xml:space="preserve">The invention is evaluated primarily against major industry platforms that may be cited as prior art, including Unity, Google, Meta, and Digital Turbine.</w:t>
      </w:r>
    </w:p>
    <w:p>
      <w:pPr>
        <w:pStyle w:val="Compact"/>
        <w:numPr>
          <w:ilvl w:val="0"/>
          <w:numId w:val="1002"/>
        </w:numPr>
      </w:pPr>
      <w:r>
        <w:t xml:space="preserve">Unity Technologies (SDK-Based Mediation Platforms)</w:t>
      </w:r>
    </w:p>
    <w:p>
      <w:pPr>
        <w:pStyle w:val="FirstParagraph"/>
      </w:pPr>
      <w:r>
        <w:t xml:space="preserve">Unity operates an application-level mediation and advertising platform embedded via software development kits (SDKs) inside third-party applications.</w:t>
      </w:r>
    </w:p>
    <w:p>
      <w:pPr>
        <w:pStyle w:val="BodyText"/>
      </w:pPr>
      <w:r>
        <w:t xml:space="preserve">Unity Characteristics:</w:t>
      </w:r>
      <w:r>
        <w:t xml:space="preserve"> </w:t>
      </w:r>
      <w:r>
        <w:t xml:space="preserve">- Operates entirely within application sandboxes</w:t>
      </w:r>
      <w:r>
        <w:t xml:space="preserve"> </w:t>
      </w:r>
      <w:r>
        <w:t xml:space="preserve">- Requires developer integration and consent</w:t>
      </w:r>
      <w:r>
        <w:t xml:space="preserve"> </w:t>
      </w:r>
      <w:r>
        <w:t xml:space="preserve">- Controls a single mediated auction per ad placement</w:t>
      </w:r>
      <w:r>
        <w:t xml:space="preserve"> </w:t>
      </w:r>
      <w:r>
        <w:t xml:space="preserve">- Lacks access to carrier billing systems</w:t>
      </w:r>
      <w:r>
        <w:t xml:space="preserve"> </w:t>
      </w:r>
      <w:r>
        <w:t xml:space="preserve">- Lacks access to subscriber identity</w:t>
      </w:r>
      <w:r>
        <w:t xml:space="preserve"> </w:t>
      </w:r>
      <w:r>
        <w:t xml:space="preserve">- Lacks access to system-level UI surfaces</w:t>
      </w:r>
      <w:r>
        <w:t xml:space="preserve"> </w:t>
      </w:r>
      <w:r>
        <w:t xml:space="preserve">- Cannot enforce jurisdictional, parental, or carrier policy upstream of bidding</w:t>
      </w:r>
    </w:p>
    <w:p>
      <w:pPr>
        <w:pStyle w:val="BodyText"/>
      </w:pPr>
      <w:r>
        <w:t xml:space="preserve">Key Differentiation:</w:t>
      </w:r>
      <w:r>
        <w:t xml:space="preserve"> </w:t>
      </w:r>
      <w:r>
        <w:t xml:space="preserve">The claimed invention operates as a carrier-controlled control plane outside of application SDKs. Auctions are conducted prior to application execution, are gated by carrier consent, policy, and legal enforcement, and may span multiple independent market domains (install and surface). Unity does not operate as a market operator and cannot govern eligibility or execution at the carrier level.</w:t>
      </w:r>
    </w:p>
    <w:p>
      <w:pPr>
        <w:pStyle w:val="Compact"/>
        <w:numPr>
          <w:ilvl w:val="0"/>
          <w:numId w:val="1003"/>
        </w:numPr>
      </w:pPr>
      <w:r>
        <w:t xml:space="preserve">Google Play Store and Google Advertising Platforms</w:t>
      </w:r>
    </w:p>
    <w:p>
      <w:pPr>
        <w:pStyle w:val="FirstParagraph"/>
      </w:pPr>
      <w:r>
        <w:t xml:space="preserve">Google Play governs application distribution through a centralized application marketplace. Google Ads operates a separate advertising platform optimized for web and application environments.</w:t>
      </w:r>
    </w:p>
    <w:p>
      <w:pPr>
        <w:pStyle w:val="BodyText"/>
      </w:pPr>
      <w:r>
        <w:t xml:space="preserve">Google Characteristics:</w:t>
      </w:r>
      <w:r>
        <w:t xml:space="preserve"> </w:t>
      </w:r>
      <w:r>
        <w:t xml:space="preserve">- Application installs require user-initiated store interaction</w:t>
      </w:r>
      <w:r>
        <w:t xml:space="preserve"> </w:t>
      </w:r>
      <w:r>
        <w:t xml:space="preserve">- Advertising and installs are decoupled systems</w:t>
      </w:r>
      <w:r>
        <w:t xml:space="preserve"> </w:t>
      </w:r>
      <w:r>
        <w:t xml:space="preserve">- Auctions are controlled by Google, not carriers</w:t>
      </w:r>
      <w:r>
        <w:t xml:space="preserve"> </w:t>
      </w:r>
      <w:r>
        <w:t xml:space="preserve">- Limited carrier policy enforcement</w:t>
      </w:r>
      <w:r>
        <w:t xml:space="preserve"> </w:t>
      </w:r>
      <w:r>
        <w:t xml:space="preserve">- No carrier-controlled execution agents</w:t>
      </w:r>
      <w:r>
        <w:t xml:space="preserve"> </w:t>
      </w:r>
      <w:r>
        <w:t xml:space="preserve">- No carrier-operated experimentation governance</w:t>
      </w:r>
    </w:p>
    <w:p>
      <w:pPr>
        <w:pStyle w:val="BodyText"/>
      </w:pPr>
      <w:r>
        <w:t xml:space="preserve">Key Differentiation:</w:t>
      </w:r>
      <w:r>
        <w:t xml:space="preserve"> </w:t>
      </w:r>
      <w:r>
        <w:t xml:space="preserve">The claimed invention unifies advertising, installs, and execution under carrier control. Auctions may result in silent or user-interactive installs without store mediation. The carrier, not Google, enforces eligibility, jurisdictional restrictions, parental controls, and execution logic. Google does not operate multiple carrier-governed digital markets on-device.</w:t>
      </w:r>
    </w:p>
    <w:p>
      <w:pPr>
        <w:pStyle w:val="Compact"/>
        <w:numPr>
          <w:ilvl w:val="0"/>
          <w:numId w:val="1004"/>
        </w:numPr>
      </w:pPr>
      <w:r>
        <w:t xml:space="preserve">Meta Advertising Platforms</w:t>
      </w:r>
    </w:p>
    <w:p>
      <w:pPr>
        <w:pStyle w:val="FirstParagraph"/>
      </w:pPr>
      <w:r>
        <w:t xml:space="preserve">Meta provides advertising platforms integrated into applications and web properties through SDKs and APIs.</w:t>
      </w:r>
    </w:p>
    <w:p>
      <w:pPr>
        <w:pStyle w:val="BodyText"/>
      </w:pPr>
      <w:r>
        <w:t xml:space="preserve">Meta Characteristics:</w:t>
      </w:r>
      <w:r>
        <w:t xml:space="preserve"> </w:t>
      </w:r>
      <w:r>
        <w:t xml:space="preserve">- Operates at the application or web layer</w:t>
      </w:r>
      <w:r>
        <w:t xml:space="preserve"> </w:t>
      </w:r>
      <w:r>
        <w:t xml:space="preserve">- Requires application developer integration</w:t>
      </w:r>
      <w:r>
        <w:t xml:space="preserve"> </w:t>
      </w:r>
      <w:r>
        <w:t xml:space="preserve">- Uses probabilistic attribution</w:t>
      </w:r>
      <w:r>
        <w:t xml:space="preserve"> </w:t>
      </w:r>
      <w:r>
        <w:t xml:space="preserve">- Lacks access to carrier-level telemetry</w:t>
      </w:r>
      <w:r>
        <w:t xml:space="preserve"> </w:t>
      </w:r>
      <w:r>
        <w:t xml:space="preserve">- Cannot enforce device lifecycle or OOBE logic</w:t>
      </w:r>
    </w:p>
    <w:p>
      <w:pPr>
        <w:pStyle w:val="BodyText"/>
      </w:pPr>
      <w:r>
        <w:t xml:space="preserve">Key Differentiation:</w:t>
      </w:r>
      <w:r>
        <w:t xml:space="preserve"> </w:t>
      </w:r>
      <w:r>
        <w:t xml:space="preserve">The claimed invention operates at device lifecycle boundaries, including OOBE and onboarding flows inaccessible to Meta. Attribution is deterministic and carrier-verified. Meta does not control installs, execution agents, or jurisdiction-aware enforcement at the network layer.</w:t>
      </w:r>
    </w:p>
    <w:p>
      <w:pPr>
        <w:pStyle w:val="Compact"/>
        <w:numPr>
          <w:ilvl w:val="0"/>
          <w:numId w:val="1005"/>
        </w:numPr>
      </w:pPr>
      <w:r>
        <w:t xml:space="preserve">Digital Turbine (Preload and On-Device Media Platforms)</w:t>
      </w:r>
    </w:p>
    <w:p>
      <w:pPr>
        <w:pStyle w:val="FirstParagraph"/>
      </w:pPr>
      <w:r>
        <w:t xml:space="preserve">Digital Turbine provides application preload and on-device media services typically configured at manufacturing or OEM integration time.</w:t>
      </w:r>
    </w:p>
    <w:p>
      <w:pPr>
        <w:pStyle w:val="BodyText"/>
      </w:pPr>
      <w:r>
        <w:t xml:space="preserve">Digital Turbine Characteristics:</w:t>
      </w:r>
      <w:r>
        <w:t xml:space="preserve"> </w:t>
      </w:r>
      <w:r>
        <w:t xml:space="preserve">- Preload decisions are static or semi-static</w:t>
      </w:r>
      <w:r>
        <w:t xml:space="preserve"> </w:t>
      </w:r>
      <w:r>
        <w:t xml:space="preserve">- Limited real-time auctioning</w:t>
      </w:r>
      <w:r>
        <w:t xml:space="preserve"> </w:t>
      </w:r>
      <w:r>
        <w:t xml:space="preserve">- No multi-broker neutral exchange</w:t>
      </w:r>
      <w:r>
        <w:t xml:space="preserve"> </w:t>
      </w:r>
      <w:r>
        <w:t xml:space="preserve">- No AI-driven lifecycle optimization</w:t>
      </w:r>
      <w:r>
        <w:t xml:space="preserve"> </w:t>
      </w:r>
      <w:r>
        <w:t xml:space="preserve">- Limited experimentation governance</w:t>
      </w:r>
    </w:p>
    <w:p>
      <w:pPr>
        <w:pStyle w:val="BodyText"/>
      </w:pPr>
      <w:r>
        <w:t xml:space="preserve">Key Differentiation:</w:t>
      </w:r>
      <w:r>
        <w:t xml:space="preserve"> </w:t>
      </w:r>
      <w:r>
        <w:t xml:space="preserve">The claimed invention replaces static preload arrangements with dynamic, AI-driven auctions conducted under carrier control. Preload, install, and ad surface decisions are determined at runtime, governed by consent, policy, and experimentation frameworks. Digital Turbine does not operate multiple independent market domains or enforce upstream policy restrictions dynamically.</w:t>
      </w:r>
    </w:p>
    <w:p>
      <w:pPr>
        <w:pStyle w:val="Compact"/>
        <w:numPr>
          <w:ilvl w:val="0"/>
          <w:numId w:val="1006"/>
        </w:numPr>
      </w:pPr>
      <w:r>
        <w:t xml:space="preserve">Summary of Novelty and Non-Obviousness</w:t>
      </w:r>
    </w:p>
    <w:p>
      <w:pPr>
        <w:pStyle w:val="FirstParagraph"/>
      </w:pPr>
      <w:r>
        <w:t xml:space="preserve">Across all evaluated prior art, the following elements are not disclosed or suggested:</w:t>
      </w:r>
    </w:p>
    <w:p>
      <w:pPr>
        <w:pStyle w:val="Compact"/>
        <w:numPr>
          <w:ilvl w:val="0"/>
          <w:numId w:val="1007"/>
        </w:numPr>
      </w:pPr>
      <w:r>
        <w:t xml:space="preserve">A carrier-operated ad layer functioning as a multi-market digital exchange</w:t>
      </w:r>
    </w:p>
    <w:p>
      <w:pPr>
        <w:pStyle w:val="Compact"/>
        <w:numPr>
          <w:ilvl w:val="0"/>
          <w:numId w:val="1007"/>
        </w:numPr>
      </w:pPr>
      <w:r>
        <w:t xml:space="preserve">Independent auction domains for installs and ad placements with separate monetization ledgers</w:t>
      </w:r>
    </w:p>
    <w:p>
      <w:pPr>
        <w:pStyle w:val="Compact"/>
        <w:numPr>
          <w:ilvl w:val="0"/>
          <w:numId w:val="1007"/>
        </w:numPr>
      </w:pPr>
      <w:r>
        <w:t xml:space="preserve">Use of carrier-owned first-party intelligence unavailable to SDK-based systems</w:t>
      </w:r>
    </w:p>
    <w:p>
      <w:pPr>
        <w:pStyle w:val="Compact"/>
        <w:numPr>
          <w:ilvl w:val="0"/>
          <w:numId w:val="1007"/>
        </w:numPr>
      </w:pPr>
      <w:r>
        <w:t xml:space="preserve">Upstream enforcement of consent, legal compliance, parental controls, and supplier restrictions prior to bidding</w:t>
      </w:r>
    </w:p>
    <w:p>
      <w:pPr>
        <w:pStyle w:val="Compact"/>
        <w:numPr>
          <w:ilvl w:val="0"/>
          <w:numId w:val="1007"/>
        </w:numPr>
      </w:pPr>
      <w:r>
        <w:t xml:space="preserve">Integration of experimentation and A/B testing into auction governance</w:t>
      </w:r>
    </w:p>
    <w:p>
      <w:pPr>
        <w:pStyle w:val="Compact"/>
        <w:numPr>
          <w:ilvl w:val="0"/>
          <w:numId w:val="1007"/>
        </w:numPr>
      </w:pPr>
      <w:r>
        <w:t xml:space="preserve">Execution boundary separating market determination from system execution</w:t>
      </w:r>
    </w:p>
    <w:p>
      <w:pPr>
        <w:pStyle w:val="FirstParagraph"/>
      </w:pPr>
      <w:r>
        <w:t xml:space="preserve">These distinctions establish the claimed invention as non-obvious over existing SDK-based advertising, marketplace-driven installs, and static preload systems.</w:t>
      </w:r>
    </w:p>
    <w:p>
      <w:pPr>
        <w:pStyle w:val="BodyText"/>
      </w:pPr>
      <w:r>
        <w:t xml:space="preserve">End of Prior Art Mapping</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2026-01-26T08:18:13Z</dcterms:created>
  <dcterms:modified xsi:type="dcterms:W3CDTF">2026-01-26T08:18:13Z</dcterms:modified>
</cp:coreProperties>
</file>

<file path=docProps/custom.xml><?xml version="1.0" encoding="utf-8"?>
<Properties xmlns="http://schemas.openxmlformats.org/officeDocument/2006/custom-properties" xmlns:vt="http://schemas.openxmlformats.org/officeDocument/2006/docPropsVTypes"/>
</file>