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fdde17bd4efc6acd78e9063494a289491bc80f"/>
    <w:p>
      <w:pPr>
        <w:pStyle w:val="Heading1"/>
      </w:pPr>
      <w:r>
        <w:t xml:space="preserve">Lock / Unlock Screen Inter-App Arbitration System</w:t>
      </w:r>
    </w:p>
    <w:bookmarkStart w:id="21" w:name="Xac12b3f72800a9f07b19db072d54dbdcb414f61"/>
    <w:p>
      <w:pPr>
        <w:pStyle w:val="Heading2"/>
      </w:pPr>
      <w:r>
        <w:t xml:space="preserve">Volume 3 — Vendor Integration, IPC Protocols, and Developer Interface</w:t>
      </w:r>
    </w:p>
    <w:bookmarkStart w:id="20" w:name="detailed-engineering-specification"/>
    <w:p>
      <w:pPr>
        <w:pStyle w:val="Heading3"/>
      </w:pPr>
      <w:r>
        <w:t xml:space="preserve">Detailed Engineering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document-purpose"/>
    <w:p>
      <w:pPr>
        <w:pStyle w:val="Heading1"/>
      </w:pPr>
      <w:r>
        <w:t xml:space="preserve">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external developer integration model</w:t>
      </w:r>
      <w:r>
        <w:t xml:space="preserve"> </w:t>
      </w:r>
      <w:r>
        <w:t xml:space="preserve">for the Lock / Unlock Screen Inter‑App Arbitration System.</w:t>
      </w:r>
    </w:p>
    <w:p>
      <w:pPr>
        <w:pStyle w:val="BodyText"/>
      </w:pPr>
      <w:r>
        <w:t xml:space="preserve">Volume 1 described the architectural components of the arbitration platform.</w:t>
      </w:r>
      <w:r>
        <w:t xml:space="preserve"> </w:t>
      </w:r>
      <w:r>
        <w:t xml:space="preserve">Volume 2 described the runtime algorithms governing arbitration decisions.</w:t>
      </w:r>
    </w:p>
    <w:p>
      <w:pPr>
        <w:pStyle w:val="BodyText"/>
      </w:pPr>
      <w:r>
        <w:t xml:space="preserve">This volume defines</w:t>
      </w:r>
      <w:r>
        <w:t xml:space="preserve"> </w:t>
      </w:r>
      <w:r>
        <w:rPr>
          <w:b/>
          <w:bCs/>
        </w:rPr>
        <w:t xml:space="preserve">how participating vendor applications integrate with the arbitration system</w:t>
      </w:r>
      <w:r>
        <w:t xml:space="preserve"> </w:t>
      </w:r>
      <w:r>
        <w:t xml:space="preserve">and how they communicate with the arbitration service.</w:t>
      </w:r>
    </w:p>
    <w:p>
      <w:pPr>
        <w:pStyle w:val="BodyText"/>
      </w:pPr>
      <w:r>
        <w:t xml:space="preserve">Topics covered include:</w:t>
      </w:r>
    </w:p>
    <w:p>
      <w:pPr>
        <w:pStyle w:val="Compact"/>
        <w:numPr>
          <w:ilvl w:val="0"/>
          <w:numId w:val="1001"/>
        </w:numPr>
      </w:pPr>
      <w:r>
        <w:t xml:space="preserve">vendor registration</w:t>
      </w:r>
    </w:p>
    <w:p>
      <w:pPr>
        <w:pStyle w:val="Compact"/>
        <w:numPr>
          <w:ilvl w:val="0"/>
          <w:numId w:val="1001"/>
        </w:numPr>
      </w:pPr>
      <w:r>
        <w:t xml:space="preserve">IPC communication model</w:t>
      </w:r>
    </w:p>
    <w:p>
      <w:pPr>
        <w:pStyle w:val="Compact"/>
        <w:numPr>
          <w:ilvl w:val="0"/>
          <w:numId w:val="1001"/>
        </w:numPr>
      </w:pPr>
      <w:r>
        <w:t xml:space="preserve">AIDL interface contracts</w:t>
      </w:r>
    </w:p>
    <w:p>
      <w:pPr>
        <w:pStyle w:val="Compact"/>
        <w:numPr>
          <w:ilvl w:val="0"/>
          <w:numId w:val="1001"/>
        </w:numPr>
      </w:pPr>
      <w:r>
        <w:t xml:space="preserve">broadcast event model</w:t>
      </w:r>
    </w:p>
    <w:p>
      <w:pPr>
        <w:pStyle w:val="Compact"/>
        <w:numPr>
          <w:ilvl w:val="0"/>
          <w:numId w:val="1001"/>
        </w:numPr>
      </w:pPr>
      <w:r>
        <w:t xml:space="preserve">token lifecycle APIs</w:t>
      </w:r>
    </w:p>
    <w:p>
      <w:pPr>
        <w:pStyle w:val="Compact"/>
        <w:numPr>
          <w:ilvl w:val="0"/>
          <w:numId w:val="1001"/>
        </w:numPr>
      </w:pPr>
      <w:r>
        <w:t xml:space="preserve">failure handling</w:t>
      </w:r>
    </w:p>
    <w:p>
      <w:pPr>
        <w:pStyle w:val="Compact"/>
        <w:numPr>
          <w:ilvl w:val="0"/>
          <w:numId w:val="1001"/>
        </w:numPr>
      </w:pPr>
      <w:r>
        <w:t xml:space="preserve">telemetry and diagnostics</w:t>
      </w:r>
    </w:p>
    <w:p>
      <w:pPr>
        <w:pStyle w:val="FirstParagraph"/>
      </w:pPr>
      <w:r>
        <w:t xml:space="preserve">The purpose of this document is to ensure vendors can integrate with the arbitration platform safely while preserving system fairness and device resource protection.</w:t>
      </w:r>
    </w:p>
    <w:p>
      <w:r>
        <w:pict>
          <v:rect style="width:0;height:1.5pt" o:hralign="center" o:hrstd="t" o:hr="t"/>
        </w:pict>
      </w:r>
    </w:p>
    <w:bookmarkEnd w:id="23"/>
    <w:bookmarkStart w:id="24" w:name="vendor-participation-model"/>
    <w:p>
      <w:pPr>
        <w:pStyle w:val="Heading1"/>
      </w:pPr>
      <w:r>
        <w:t xml:space="preserve">1. Vendor Participation Model</w:t>
      </w:r>
    </w:p>
    <w:p>
      <w:pPr>
        <w:pStyle w:val="FirstParagraph"/>
      </w:pPr>
      <w:r>
        <w:t xml:space="preserve">Third‑party or partner applications participating in the arbitration ecosystem must implement a standardized integration layer.</w:t>
      </w:r>
    </w:p>
    <w:p>
      <w:pPr>
        <w:pStyle w:val="BodyText"/>
      </w:pPr>
      <w:r>
        <w:t xml:space="preserve">Each vendor application must include an</w:t>
      </w:r>
      <w:r>
        <w:t xml:space="preserve"> </w:t>
      </w:r>
      <w:r>
        <w:rPr>
          <w:b/>
          <w:bCs/>
        </w:rPr>
        <w:t xml:space="preserve">Arbitration Client Module</w:t>
      </w:r>
      <w:r>
        <w:t xml:space="preserve"> </w:t>
      </w: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establishing communication with the arbitration service</w:t>
      </w:r>
    </w:p>
    <w:p>
      <w:pPr>
        <w:pStyle w:val="Compact"/>
        <w:numPr>
          <w:ilvl w:val="0"/>
          <w:numId w:val="1002"/>
        </w:numPr>
      </w:pPr>
      <w:r>
        <w:t xml:space="preserve">registering vendor capabilities</w:t>
      </w:r>
    </w:p>
    <w:p>
      <w:pPr>
        <w:pStyle w:val="Compact"/>
        <w:numPr>
          <w:ilvl w:val="0"/>
          <w:numId w:val="1002"/>
        </w:numPr>
      </w:pPr>
      <w:r>
        <w:t xml:space="preserve">receiving token grants</w:t>
      </w:r>
    </w:p>
    <w:p>
      <w:pPr>
        <w:pStyle w:val="Compact"/>
        <w:numPr>
          <w:ilvl w:val="0"/>
          <w:numId w:val="1002"/>
        </w:numPr>
      </w:pPr>
      <w:r>
        <w:t xml:space="preserve">responding to render requests</w:t>
      </w:r>
    </w:p>
    <w:p>
      <w:pPr>
        <w:pStyle w:val="Compact"/>
        <w:numPr>
          <w:ilvl w:val="0"/>
          <w:numId w:val="1002"/>
        </w:numPr>
      </w:pPr>
      <w:r>
        <w:t xml:space="preserve">reporting completion events</w:t>
      </w:r>
    </w:p>
    <w:p>
      <w:pPr>
        <w:pStyle w:val="FirstParagraph"/>
      </w:pPr>
      <w:r>
        <w:t xml:space="preserve">The Arbitration Client Module runs inside the vendor application process.</w:t>
      </w:r>
    </w:p>
    <w:p>
      <w:pPr>
        <w:pStyle w:val="BodyText"/>
      </w:pPr>
      <w:r>
        <w:t xml:space="preserve">The arbitration service itself runs as a</w:t>
      </w:r>
      <w:r>
        <w:t xml:space="preserve"> </w:t>
      </w:r>
      <w:r>
        <w:rPr>
          <w:b/>
          <w:bCs/>
        </w:rPr>
        <w:t xml:space="preserve">system‑level platform 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pc-communication-model"/>
    <w:p>
      <w:pPr>
        <w:pStyle w:val="Heading1"/>
      </w:pPr>
      <w:r>
        <w:t xml:space="preserve">2. IPC Communication Model</w:t>
      </w:r>
    </w:p>
    <w:p>
      <w:pPr>
        <w:pStyle w:val="FirstParagraph"/>
      </w:pPr>
      <w:r>
        <w:t xml:space="preserve">Communication between vendor applications and the arbitration service occurs using Android</w:t>
      </w:r>
      <w:r>
        <w:t xml:space="preserve"> </w:t>
      </w:r>
      <w:r>
        <w:rPr>
          <w:b/>
          <w:bCs/>
        </w:rPr>
        <w:t xml:space="preserve">Binder IPC</w:t>
      </w:r>
      <w:r>
        <w:t xml:space="preserve">.</w:t>
      </w:r>
    </w:p>
    <w:p>
      <w:pPr>
        <w:pStyle w:val="BodyText"/>
      </w:pPr>
      <w:r>
        <w:t xml:space="preserve">Binder is the native Android inter‑process communication framework that enables applications to invoke methods across process boundaries.</w:t>
      </w:r>
    </w:p>
    <w:p>
      <w:pPr>
        <w:pStyle w:val="BodyText"/>
      </w:pPr>
      <w:r>
        <w:t xml:space="preserve">All arbitration communication uses strongly typed</w:t>
      </w:r>
      <w:r>
        <w:t xml:space="preserve"> </w:t>
      </w:r>
      <w:r>
        <w:rPr>
          <w:b/>
          <w:bCs/>
        </w:rPr>
        <w:t xml:space="preserve">AIDL (Android Interface Definition Language)</w:t>
      </w:r>
      <w:r>
        <w:t xml:space="preserve"> </w:t>
      </w:r>
      <w:r>
        <w:t xml:space="preserve">contracts.</w:t>
      </w:r>
    </w:p>
    <w:p>
      <w:pPr>
        <w:pStyle w:val="BodyText"/>
      </w:pPr>
      <w:r>
        <w:t xml:space="preserve">Binder is used because it provides:</w:t>
      </w:r>
    </w:p>
    <w:p>
      <w:pPr>
        <w:pStyle w:val="Compact"/>
        <w:numPr>
          <w:ilvl w:val="0"/>
          <w:numId w:val="1003"/>
        </w:numPr>
      </w:pPr>
      <w:r>
        <w:t xml:space="preserve">low latency communication</w:t>
      </w:r>
    </w:p>
    <w:p>
      <w:pPr>
        <w:pStyle w:val="Compact"/>
        <w:numPr>
          <w:ilvl w:val="0"/>
          <w:numId w:val="1003"/>
        </w:numPr>
      </w:pPr>
      <w:r>
        <w:t xml:space="preserve">identity verification</w:t>
      </w:r>
    </w:p>
    <w:p>
      <w:pPr>
        <w:pStyle w:val="Compact"/>
        <w:numPr>
          <w:ilvl w:val="0"/>
          <w:numId w:val="1003"/>
        </w:numPr>
      </w:pPr>
      <w:r>
        <w:t xml:space="preserve">permission enforcement</w:t>
      </w:r>
    </w:p>
    <w:p>
      <w:pPr>
        <w:pStyle w:val="Compact"/>
        <w:numPr>
          <w:ilvl w:val="0"/>
          <w:numId w:val="1003"/>
        </w:numPr>
      </w:pPr>
      <w:r>
        <w:t xml:space="preserve">structured error handling</w:t>
      </w:r>
    </w:p>
    <w:p>
      <w:pPr>
        <w:pStyle w:val="FirstParagraph"/>
      </w:pPr>
      <w:r>
        <w:t xml:space="preserve">This IPC model prevents vendors from interfering with one another while enabling centralized scheduling.</w:t>
      </w:r>
    </w:p>
    <w:p>
      <w:r>
        <w:pict>
          <v:rect style="width:0;height:1.5pt" o:hralign="center" o:hrstd="t" o:hr="t"/>
        </w:pict>
      </w:r>
    </w:p>
    <w:bookmarkEnd w:id="25"/>
    <w:bookmarkStart w:id="26" w:name="vendor-registration-flow"/>
    <w:p>
      <w:pPr>
        <w:pStyle w:val="Heading1"/>
      </w:pPr>
      <w:r>
        <w:t xml:space="preserve">3. Vendor Registration Flow</w:t>
      </w:r>
    </w:p>
    <w:p>
      <w:pPr>
        <w:pStyle w:val="FirstParagraph"/>
      </w:pPr>
      <w:r>
        <w:t xml:space="preserve">Before a vendor may participate in arbitration cycles, it must register with the arbitration service.</w:t>
      </w:r>
    </w:p>
    <w:p>
      <w:pPr>
        <w:pStyle w:val="BodyText"/>
      </w:pPr>
      <w:r>
        <w:t xml:space="preserve">Registration occurs during application startup or when the vendor service initializes.</w:t>
      </w:r>
    </w:p>
    <w:p>
      <w:pPr>
        <w:pStyle w:val="BodyText"/>
      </w:pPr>
      <w:r>
        <w:t xml:space="preserve">Registration includes the following information:</w:t>
      </w:r>
    </w:p>
    <w:p>
      <w:pPr>
        <w:pStyle w:val="BodyText"/>
      </w:pPr>
      <w:r>
        <w:t xml:space="preserve">Vendor identifier</w:t>
      </w:r>
      <w:r>
        <w:t xml:space="preserve"> </w:t>
      </w:r>
      <w:r>
        <w:t xml:space="preserve">Application package name</w:t>
      </w:r>
      <w:r>
        <w:t xml:space="preserve"> </w:t>
      </w:r>
      <w:r>
        <w:t xml:space="preserve">Supported surface types</w:t>
      </w:r>
      <w:r>
        <w:t xml:space="preserve"> </w:t>
      </w:r>
      <w:r>
        <w:t xml:space="preserve">Refresh capability</w:t>
      </w:r>
      <w:r>
        <w:t xml:space="preserve"> </w:t>
      </w:r>
      <w:r>
        <w:t xml:space="preserve">Render capability</w:t>
      </w:r>
    </w:p>
    <w:p>
      <w:pPr>
        <w:pStyle w:val="BodyText"/>
      </w:pPr>
      <w:r>
        <w:t xml:space="preserve">Registration flow:</w:t>
      </w:r>
    </w:p>
    <w:p>
      <w:pPr>
        <w:pStyle w:val="Compact"/>
        <w:numPr>
          <w:ilvl w:val="0"/>
          <w:numId w:val="1004"/>
        </w:numPr>
      </w:pPr>
      <w:r>
        <w:t xml:space="preserve">Vendor connects to arbitration service binder interface.</w:t>
      </w:r>
    </w:p>
    <w:p>
      <w:pPr>
        <w:pStyle w:val="Compact"/>
        <w:numPr>
          <w:ilvl w:val="0"/>
          <w:numId w:val="1004"/>
        </w:numPr>
      </w:pPr>
      <w:r>
        <w:t xml:space="preserve">Vendor submits registration request.</w:t>
      </w:r>
    </w:p>
    <w:p>
      <w:pPr>
        <w:pStyle w:val="Compact"/>
        <w:numPr>
          <w:ilvl w:val="0"/>
          <w:numId w:val="1004"/>
        </w:numPr>
      </w:pPr>
      <w:r>
        <w:t xml:space="preserve">Arbitration service validates permissions.</w:t>
      </w:r>
    </w:p>
    <w:p>
      <w:pPr>
        <w:pStyle w:val="Compact"/>
        <w:numPr>
          <w:ilvl w:val="0"/>
          <w:numId w:val="1004"/>
        </w:numPr>
      </w:pPr>
      <w:r>
        <w:t xml:space="preserve">Vendor is assigned a vendor session ID.</w:t>
      </w:r>
    </w:p>
    <w:p>
      <w:pPr>
        <w:pStyle w:val="Compact"/>
        <w:numPr>
          <w:ilvl w:val="0"/>
          <w:numId w:val="1004"/>
        </w:numPr>
      </w:pPr>
      <w:r>
        <w:t xml:space="preserve">Vendor transitions to REGISTERED state.</w:t>
      </w:r>
    </w:p>
    <w:p>
      <w:pPr>
        <w:pStyle w:val="FirstParagraph"/>
      </w:pPr>
      <w:r>
        <w:t xml:space="preserve">If registration fails, the vendor may retry using an exponential backoff strategy.</w:t>
      </w:r>
    </w:p>
    <w:p>
      <w:r>
        <w:pict>
          <v:rect style="width:0;height:1.5pt" o:hralign="center" o:hrstd="t" o:hr="t"/>
        </w:pict>
      </w:r>
    </w:p>
    <w:bookmarkEnd w:id="26"/>
    <w:bookmarkStart w:id="27" w:name="aidl-interface-definitions"/>
    <w:p>
      <w:pPr>
        <w:pStyle w:val="Heading1"/>
      </w:pPr>
      <w:r>
        <w:t xml:space="preserve">4. AIDL Interface Definitions</w:t>
      </w:r>
    </w:p>
    <w:p>
      <w:pPr>
        <w:pStyle w:val="FirstParagraph"/>
      </w:pPr>
      <w:r>
        <w:t xml:space="preserve">The arbitration platform exposes a primary service interface called:</w:t>
      </w:r>
    </w:p>
    <w:p>
      <w:pPr>
        <w:pStyle w:val="BodyText"/>
      </w:pPr>
      <w:r>
        <w:t xml:space="preserve">IArbitrationService</w:t>
      </w:r>
    </w:p>
    <w:p>
      <w:pPr>
        <w:pStyle w:val="BodyText"/>
      </w:pPr>
      <w:r>
        <w:t xml:space="preserve">Example interface definition:</w:t>
      </w:r>
    </w:p>
    <w:p>
      <w:pPr>
        <w:pStyle w:val="BodyText"/>
      </w:pPr>
      <w:r>
        <w:t xml:space="preserve">interface IArbitrationService {</w:t>
      </w:r>
    </w:p>
    <w:p>
      <w:pPr>
        <w:pStyle w:val="SourceCode"/>
      </w:pPr>
      <w:r>
        <w:rPr>
          <w:rStyle w:val="VerbatimChar"/>
        </w:rPr>
        <w:t xml:space="preserve">VendorSession registerVendor(VendorRegistration registration);</w:t>
      </w:r>
      <w:r>
        <w:br/>
      </w:r>
      <w:r>
        <w:br/>
      </w:r>
      <w:r>
        <w:rPr>
          <w:rStyle w:val="VerbatimChar"/>
        </w:rPr>
        <w:t xml:space="preserve">RefreshToken requestRefresh(int vendorId);</w:t>
      </w:r>
      <w:r>
        <w:br/>
      </w:r>
      <w:r>
        <w:br/>
      </w:r>
      <w:r>
        <w:rPr>
          <w:rStyle w:val="VerbatimChar"/>
        </w:rPr>
        <w:t xml:space="preserve">StageToken requestStage(int vendorId);</w:t>
      </w:r>
      <w:r>
        <w:br/>
      </w:r>
      <w:r>
        <w:br/>
      </w:r>
      <w:r>
        <w:rPr>
          <w:rStyle w:val="VerbatimChar"/>
        </w:rPr>
        <w:t xml:space="preserve">RenderToken requestRender(int vendorId);</w:t>
      </w:r>
      <w:r>
        <w:br/>
      </w:r>
      <w:r>
        <w:br/>
      </w:r>
      <w:r>
        <w:rPr>
          <w:rStyle w:val="VerbatimChar"/>
        </w:rPr>
        <w:t xml:space="preserve">void releaseToken(Token token);</w:t>
      </w:r>
      <w:r>
        <w:br/>
      </w:r>
      <w:r>
        <w:br/>
      </w:r>
      <w:r>
        <w:rPr>
          <w:rStyle w:val="VerbatimChar"/>
        </w:rPr>
        <w:t xml:space="preserve">void reportCompletion(Token token);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These methods allow vendors to participate in arbitration while preserving central control.</w:t>
      </w:r>
    </w:p>
    <w:p>
      <w:r>
        <w:pict>
          <v:rect style="width:0;height:1.5pt" o:hralign="center" o:hrstd="t" o:hr="t"/>
        </w:pict>
      </w:r>
    </w:p>
    <w:bookmarkEnd w:id="27"/>
    <w:bookmarkStart w:id="28" w:name="token-lifecycle-apis"/>
    <w:p>
      <w:pPr>
        <w:pStyle w:val="Heading1"/>
      </w:pPr>
      <w:r>
        <w:t xml:space="preserve">5. Token Lifecycle APIs</w:t>
      </w:r>
    </w:p>
    <w:p>
      <w:pPr>
        <w:pStyle w:val="FirstParagraph"/>
      </w:pPr>
      <w:r>
        <w:t xml:space="preserve">The arbitration platform manages three token types.</w:t>
      </w:r>
    </w:p>
    <w:p>
      <w:pPr>
        <w:pStyle w:val="BodyText"/>
      </w:pPr>
      <w:r>
        <w:t xml:space="preserve">Refresh Token</w:t>
      </w:r>
      <w:r>
        <w:t xml:space="preserve"> </w:t>
      </w:r>
      <w:r>
        <w:t xml:space="preserve">Allows vendor to perform background refresh operations.</w:t>
      </w:r>
    </w:p>
    <w:p>
      <w:pPr>
        <w:pStyle w:val="BodyText"/>
      </w:pPr>
      <w:r>
        <w:t xml:space="preserve">Stage Token</w:t>
      </w:r>
      <w:r>
        <w:t xml:space="preserve"> </w:t>
      </w:r>
      <w:r>
        <w:t xml:space="preserve">Allows vendor to prepare render assets.</w:t>
      </w:r>
    </w:p>
    <w:p>
      <w:pPr>
        <w:pStyle w:val="BodyText"/>
      </w:pPr>
      <w:r>
        <w:t xml:space="preserve">Render Token</w:t>
      </w:r>
      <w:r>
        <w:t xml:space="preserve"> </w:t>
      </w:r>
      <w:r>
        <w:t xml:space="preserve">Allows vendor to display content on the lock/unlock surface.</w:t>
      </w:r>
    </w:p>
    <w:p>
      <w:pPr>
        <w:pStyle w:val="BodyText"/>
      </w:pPr>
      <w:r>
        <w:t xml:space="preserve">Tokens contain:</w:t>
      </w:r>
    </w:p>
    <w:p>
      <w:pPr>
        <w:pStyle w:val="Compact"/>
        <w:numPr>
          <w:ilvl w:val="0"/>
          <w:numId w:val="1005"/>
        </w:numPr>
      </w:pPr>
      <w:r>
        <w:t xml:space="preserve">vendor ID</w:t>
      </w:r>
    </w:p>
    <w:p>
      <w:pPr>
        <w:pStyle w:val="Compact"/>
        <w:numPr>
          <w:ilvl w:val="0"/>
          <w:numId w:val="1005"/>
        </w:numPr>
      </w:pPr>
      <w:r>
        <w:t xml:space="preserve">token type</w:t>
      </w:r>
    </w:p>
    <w:p>
      <w:pPr>
        <w:pStyle w:val="Compact"/>
        <w:numPr>
          <w:ilvl w:val="0"/>
          <w:numId w:val="1005"/>
        </w:numPr>
      </w:pPr>
      <w:r>
        <w:t xml:space="preserve">expiration timestamp</w:t>
      </w:r>
    </w:p>
    <w:p>
      <w:pPr>
        <w:pStyle w:val="Compact"/>
        <w:numPr>
          <w:ilvl w:val="0"/>
          <w:numId w:val="1005"/>
        </w:numPr>
      </w:pPr>
      <w:r>
        <w:t xml:space="preserve">transaction identifier</w:t>
      </w:r>
    </w:p>
    <w:p>
      <w:pPr>
        <w:pStyle w:val="FirstParagraph"/>
      </w:pPr>
      <w:r>
        <w:t xml:space="preserve">Tokens must be returned using the</w:t>
      </w:r>
      <w:r>
        <w:t xml:space="preserve"> </w:t>
      </w:r>
      <w:r>
        <w:rPr>
          <w:b/>
          <w:bCs/>
        </w:rPr>
        <w:t xml:space="preserve">releaseToken()</w:t>
      </w:r>
      <w:r>
        <w:t xml:space="preserve"> </w:t>
      </w:r>
      <w:r>
        <w:t xml:space="preserve">call when work is complete.</w:t>
      </w:r>
    </w:p>
    <w:p>
      <w:pPr>
        <w:pStyle w:val="BodyText"/>
      </w:pPr>
      <w:r>
        <w:t xml:space="preserve">If a token expires, it is automatically revoked by the arbitration service.</w:t>
      </w:r>
    </w:p>
    <w:p>
      <w:r>
        <w:pict>
          <v:rect style="width:0;height:1.5pt" o:hralign="center" o:hrstd="t" o:hr="t"/>
        </w:pict>
      </w:r>
    </w:p>
    <w:bookmarkEnd w:id="28"/>
    <w:bookmarkStart w:id="29" w:name="broadcast-event-model"/>
    <w:p>
      <w:pPr>
        <w:pStyle w:val="Heading1"/>
      </w:pPr>
      <w:r>
        <w:t xml:space="preserve">6. Broadcast Event Model</w:t>
      </w:r>
    </w:p>
    <w:p>
      <w:pPr>
        <w:pStyle w:val="FirstParagraph"/>
      </w:pPr>
      <w:r>
        <w:t xml:space="preserve">The arbitration service publishes broadcast events to participating vendors.</w:t>
      </w:r>
    </w:p>
    <w:p>
      <w:pPr>
        <w:pStyle w:val="BodyText"/>
      </w:pPr>
      <w:r>
        <w:t xml:space="preserve">Events notify vendors of system state changes.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ARBITRATION_UNLOCK_EVENT</w:t>
      </w:r>
      <w:r>
        <w:t xml:space="preserve"> </w:t>
      </w:r>
      <w:r>
        <w:t xml:space="preserve">ARBITRATION_LOCK_EVENT</w:t>
      </w:r>
      <w:r>
        <w:t xml:space="preserve"> </w:t>
      </w:r>
      <w:r>
        <w:t xml:space="preserve">ARBITRATION_PRIORITY_CHANGE</w:t>
      </w:r>
      <w:r>
        <w:t xml:space="preserve"> </w:t>
      </w:r>
      <w:r>
        <w:t xml:space="preserve">ARBITRATION_RESOURCE_WARNING</w:t>
      </w:r>
    </w:p>
    <w:p>
      <w:pPr>
        <w:pStyle w:val="BodyText"/>
      </w:pPr>
      <w:r>
        <w:t xml:space="preserve">Vendors subscribe to these events through the Arbitration Client Module.</w:t>
      </w:r>
    </w:p>
    <w:p>
      <w:pPr>
        <w:pStyle w:val="BodyText"/>
      </w:pPr>
      <w:r>
        <w:t xml:space="preserve">Broadcasts ensure that vendors can prepare content when user interaction is imminent.</w:t>
      </w:r>
    </w:p>
    <w:p>
      <w:r>
        <w:pict>
          <v:rect style="width:0;height:1.5pt" o:hralign="center" o:hrstd="t" o:hr="t"/>
        </w:pict>
      </w:r>
    </w:p>
    <w:bookmarkEnd w:id="29"/>
    <w:bookmarkStart w:id="30" w:name="vendor-render-workflow"/>
    <w:p>
      <w:pPr>
        <w:pStyle w:val="Heading1"/>
      </w:pPr>
      <w:r>
        <w:t xml:space="preserve">7. Vendor Render Workflow</w:t>
      </w:r>
    </w:p>
    <w:p>
      <w:pPr>
        <w:pStyle w:val="FirstParagraph"/>
      </w:pPr>
      <w:r>
        <w:t xml:space="preserve">Typical vendor workflow:</w:t>
      </w:r>
    </w:p>
    <w:p>
      <w:pPr>
        <w:pStyle w:val="Compact"/>
        <w:numPr>
          <w:ilvl w:val="0"/>
          <w:numId w:val="1006"/>
        </w:numPr>
      </w:pPr>
      <w:r>
        <w:t xml:space="preserve">Vendor receives refresh token.</w:t>
      </w:r>
    </w:p>
    <w:p>
      <w:pPr>
        <w:pStyle w:val="Compact"/>
        <w:numPr>
          <w:ilvl w:val="0"/>
          <w:numId w:val="1006"/>
        </w:numPr>
      </w:pPr>
      <w:r>
        <w:t xml:space="preserve">Vendor updates content.</w:t>
      </w:r>
    </w:p>
    <w:p>
      <w:pPr>
        <w:pStyle w:val="Compact"/>
        <w:numPr>
          <w:ilvl w:val="0"/>
          <w:numId w:val="1006"/>
        </w:numPr>
      </w:pPr>
      <w:r>
        <w:t xml:space="preserve">Vendor requests stage token.</w:t>
      </w:r>
    </w:p>
    <w:p>
      <w:pPr>
        <w:pStyle w:val="Compact"/>
        <w:numPr>
          <w:ilvl w:val="0"/>
          <w:numId w:val="1006"/>
        </w:numPr>
      </w:pPr>
      <w:r>
        <w:t xml:space="preserve">Vendor prepares render assets.</w:t>
      </w:r>
    </w:p>
    <w:p>
      <w:pPr>
        <w:pStyle w:val="Compact"/>
        <w:numPr>
          <w:ilvl w:val="0"/>
          <w:numId w:val="1006"/>
        </w:numPr>
      </w:pPr>
      <w:r>
        <w:t xml:space="preserve">Vendor transitions to STAGED state.</w:t>
      </w:r>
    </w:p>
    <w:p>
      <w:pPr>
        <w:pStyle w:val="Compact"/>
        <w:numPr>
          <w:ilvl w:val="0"/>
          <w:numId w:val="1006"/>
        </w:numPr>
      </w:pPr>
      <w:r>
        <w:t xml:space="preserve">Arbitration service grants render token.</w:t>
      </w:r>
    </w:p>
    <w:p>
      <w:pPr>
        <w:pStyle w:val="Compact"/>
        <w:numPr>
          <w:ilvl w:val="0"/>
          <w:numId w:val="1006"/>
        </w:numPr>
      </w:pPr>
      <w:r>
        <w:t xml:space="preserve">Vendor renders content.</w:t>
      </w:r>
    </w:p>
    <w:p>
      <w:pPr>
        <w:pStyle w:val="Compact"/>
        <w:numPr>
          <w:ilvl w:val="0"/>
          <w:numId w:val="1006"/>
        </w:numPr>
      </w:pPr>
      <w:r>
        <w:t xml:space="preserve">Vendor reports completion.</w:t>
      </w:r>
    </w:p>
    <w:p>
      <w:pPr>
        <w:pStyle w:val="FirstParagraph"/>
      </w:pPr>
      <w:r>
        <w:t xml:space="preserve">This staged workflow ensures render operations are extremely fast during unlock interactions.</w:t>
      </w:r>
    </w:p>
    <w:p>
      <w:r>
        <w:pict>
          <v:rect style="width:0;height:1.5pt" o:hralign="center" o:hrstd="t" o:hr="t"/>
        </w:pict>
      </w:r>
    </w:p>
    <w:bookmarkEnd w:id="30"/>
    <w:bookmarkStart w:id="31" w:name="permission-and-security-model"/>
    <w:p>
      <w:pPr>
        <w:pStyle w:val="Heading1"/>
      </w:pPr>
      <w:r>
        <w:t xml:space="preserve">8. Permission and Security Model</w:t>
      </w:r>
    </w:p>
    <w:p>
      <w:pPr>
        <w:pStyle w:val="FirstParagraph"/>
      </w:pPr>
      <w:r>
        <w:t xml:space="preserve">To prevent unauthorized participation, vendors must hold a platform permission.</w:t>
      </w:r>
    </w:p>
    <w:p>
      <w:pPr>
        <w:pStyle w:val="BodyText"/>
      </w:pPr>
      <w:r>
        <w:t xml:space="preserve">Example permission:</w:t>
      </w:r>
    </w:p>
    <w:p>
      <w:pPr>
        <w:pStyle w:val="BodyText"/>
      </w:pPr>
      <w:r>
        <w:t xml:space="preserve">com.carrier.platform.permission.ARBITRATION_VENDOR</w:t>
      </w:r>
    </w:p>
    <w:p>
      <w:pPr>
        <w:pStyle w:val="BodyText"/>
      </w:pPr>
      <w:r>
        <w:t xml:space="preserve">The arbitration service verifies:</w:t>
      </w:r>
    </w:p>
    <w:p>
      <w:pPr>
        <w:pStyle w:val="Compact"/>
        <w:numPr>
          <w:ilvl w:val="0"/>
          <w:numId w:val="1007"/>
        </w:numPr>
      </w:pPr>
      <w:r>
        <w:t xml:space="preserve">application signature</w:t>
      </w:r>
    </w:p>
    <w:p>
      <w:pPr>
        <w:pStyle w:val="Compact"/>
        <w:numPr>
          <w:ilvl w:val="0"/>
          <w:numId w:val="1007"/>
        </w:numPr>
      </w:pPr>
      <w:r>
        <w:t xml:space="preserve">permission grant</w:t>
      </w:r>
    </w:p>
    <w:p>
      <w:pPr>
        <w:pStyle w:val="Compact"/>
        <w:numPr>
          <w:ilvl w:val="0"/>
          <w:numId w:val="1007"/>
        </w:numPr>
      </w:pPr>
      <w:r>
        <w:t xml:space="preserve">vendor registration record</w:t>
      </w:r>
    </w:p>
    <w:p>
      <w:pPr>
        <w:pStyle w:val="FirstParagraph"/>
      </w:pPr>
      <w:r>
        <w:t xml:space="preserve">Applications without this permission cannot interact with the arbitration service.</w:t>
      </w:r>
    </w:p>
    <w:p>
      <w:r>
        <w:pict>
          <v:rect style="width:0;height:1.5pt" o:hralign="center" o:hrstd="t" o:hr="t"/>
        </w:pict>
      </w:r>
    </w:p>
    <w:bookmarkEnd w:id="31"/>
    <w:bookmarkStart w:id="32" w:name="failure-handling"/>
    <w:p>
      <w:pPr>
        <w:pStyle w:val="Heading1"/>
      </w:pPr>
      <w:r>
        <w:t xml:space="preserve">9. Failure Handling</w:t>
      </w:r>
    </w:p>
    <w:p>
      <w:pPr>
        <w:pStyle w:val="FirstParagraph"/>
      </w:pPr>
      <w:r>
        <w:t xml:space="preserve">Failures may occur due to:</w:t>
      </w:r>
    </w:p>
    <w:p>
      <w:pPr>
        <w:pStyle w:val="Compact"/>
        <w:numPr>
          <w:ilvl w:val="0"/>
          <w:numId w:val="1008"/>
        </w:numPr>
      </w:pPr>
      <w:r>
        <w:t xml:space="preserve">application crash</w:t>
      </w:r>
    </w:p>
    <w:p>
      <w:pPr>
        <w:pStyle w:val="Compact"/>
        <w:numPr>
          <w:ilvl w:val="0"/>
          <w:numId w:val="1008"/>
        </w:numPr>
      </w:pPr>
      <w:r>
        <w:t xml:space="preserve">IPC disconnection</w:t>
      </w:r>
    </w:p>
    <w:p>
      <w:pPr>
        <w:pStyle w:val="Compact"/>
        <w:numPr>
          <w:ilvl w:val="0"/>
          <w:numId w:val="1008"/>
        </w:numPr>
      </w:pPr>
      <w:r>
        <w:t xml:space="preserve">token timeout</w:t>
      </w:r>
    </w:p>
    <w:p>
      <w:pPr>
        <w:pStyle w:val="FirstParagraph"/>
      </w:pPr>
      <w:r>
        <w:t xml:space="preserve">The arbitration service monitors vendor health using binder death notifications.</w:t>
      </w:r>
    </w:p>
    <w:p>
      <w:pPr>
        <w:pStyle w:val="BodyText"/>
      </w:pPr>
      <w:r>
        <w:t xml:space="preserve">If a vendor dies while holding a token:</w:t>
      </w:r>
    </w:p>
    <w:p>
      <w:pPr>
        <w:pStyle w:val="Compact"/>
        <w:numPr>
          <w:ilvl w:val="0"/>
          <w:numId w:val="1009"/>
        </w:numPr>
      </w:pPr>
      <w:r>
        <w:t xml:space="preserve">token is revoked</w:t>
      </w:r>
    </w:p>
    <w:p>
      <w:pPr>
        <w:pStyle w:val="Compact"/>
        <w:numPr>
          <w:ilvl w:val="0"/>
          <w:numId w:val="1009"/>
        </w:numPr>
      </w:pPr>
      <w:r>
        <w:t xml:space="preserve">vendor session marked degraded</w:t>
      </w:r>
    </w:p>
    <w:p>
      <w:pPr>
        <w:pStyle w:val="Compact"/>
        <w:numPr>
          <w:ilvl w:val="0"/>
          <w:numId w:val="1009"/>
        </w:numPr>
      </w:pPr>
      <w:r>
        <w:t xml:space="preserve">arbitration cycle continues</w:t>
      </w:r>
    </w:p>
    <w:p>
      <w:pPr>
        <w:pStyle w:val="FirstParagraph"/>
      </w:pPr>
      <w:r>
        <w:t xml:space="preserve">The vendor must re‑register after recovery.</w:t>
      </w:r>
    </w:p>
    <w:p>
      <w:r>
        <w:pict>
          <v:rect style="width:0;height:1.5pt" o:hralign="center" o:hrstd="t" o:hr="t"/>
        </w:pict>
      </w:r>
    </w:p>
    <w:bookmarkEnd w:id="32"/>
    <w:bookmarkStart w:id="33" w:name="telemetry-and-diagnostics"/>
    <w:p>
      <w:pPr>
        <w:pStyle w:val="Heading1"/>
      </w:pPr>
      <w:r>
        <w:t xml:space="preserve">10. Telemetry and Diagnostics</w:t>
      </w:r>
    </w:p>
    <w:p>
      <w:pPr>
        <w:pStyle w:val="FirstParagraph"/>
      </w:pPr>
      <w:r>
        <w:t xml:space="preserve">The arbitration platform collects telemetry for system diagnostics.</w:t>
      </w:r>
    </w:p>
    <w:p>
      <w:pPr>
        <w:pStyle w:val="BodyText"/>
      </w:pPr>
      <w:r>
        <w:t xml:space="preserve">Metrics include:</w:t>
      </w:r>
    </w:p>
    <w:p>
      <w:pPr>
        <w:pStyle w:val="Compact"/>
        <w:numPr>
          <w:ilvl w:val="0"/>
          <w:numId w:val="1010"/>
        </w:numPr>
      </w:pPr>
      <w:r>
        <w:t xml:space="preserve">vendor refresh frequency</w:t>
      </w:r>
    </w:p>
    <w:p>
      <w:pPr>
        <w:pStyle w:val="Compact"/>
        <w:numPr>
          <w:ilvl w:val="0"/>
          <w:numId w:val="1010"/>
        </w:numPr>
      </w:pPr>
      <w:r>
        <w:t xml:space="preserve">render success rate</w:t>
      </w:r>
    </w:p>
    <w:p>
      <w:pPr>
        <w:pStyle w:val="Compact"/>
        <w:numPr>
          <w:ilvl w:val="0"/>
          <w:numId w:val="1010"/>
        </w:numPr>
      </w:pPr>
      <w:r>
        <w:t xml:space="preserve">token grant latency</w:t>
      </w:r>
    </w:p>
    <w:p>
      <w:pPr>
        <w:pStyle w:val="Compact"/>
        <w:numPr>
          <w:ilvl w:val="0"/>
          <w:numId w:val="1010"/>
        </w:numPr>
      </w:pPr>
      <w:r>
        <w:t xml:space="preserve">resource guard violations</w:t>
      </w:r>
    </w:p>
    <w:p>
      <w:pPr>
        <w:pStyle w:val="FirstParagraph"/>
      </w:pPr>
      <w:r>
        <w:t xml:space="preserve">Telemetry data may be exported to the platform analytics pipeline.</w:t>
      </w:r>
    </w:p>
    <w:p>
      <w:pPr>
        <w:pStyle w:val="BodyText"/>
      </w:pPr>
      <w:r>
        <w:t xml:space="preserve">This allows operators to detect misbehaving vendors and tune arbitration policy.</w:t>
      </w:r>
    </w:p>
    <w:p>
      <w:r>
        <w:pict>
          <v:rect style="width:0;height:1.5pt" o:hralign="center" o:hrstd="t" o:hr="t"/>
        </w:pict>
      </w:r>
    </w:p>
    <w:bookmarkEnd w:id="33"/>
    <w:bookmarkStart w:id="34" w:name="vendor-integration-requirements"/>
    <w:p>
      <w:pPr>
        <w:pStyle w:val="Heading1"/>
      </w:pPr>
      <w:r>
        <w:t xml:space="preserve">11. Vendor Integration Requirements</w:t>
      </w:r>
    </w:p>
    <w:p>
      <w:pPr>
        <w:pStyle w:val="FirstParagraph"/>
      </w:pPr>
      <w:r>
        <w:t xml:space="preserve">To integrate successfully, vendors must:</w:t>
      </w:r>
    </w:p>
    <w:p>
      <w:pPr>
        <w:pStyle w:val="Compact"/>
        <w:numPr>
          <w:ilvl w:val="0"/>
          <w:numId w:val="1011"/>
        </w:numPr>
      </w:pPr>
      <w:r>
        <w:t xml:space="preserve">implement Arbitration Client Module</w:t>
      </w:r>
    </w:p>
    <w:p>
      <w:pPr>
        <w:pStyle w:val="Compact"/>
        <w:numPr>
          <w:ilvl w:val="0"/>
          <w:numId w:val="1011"/>
        </w:numPr>
      </w:pPr>
      <w:r>
        <w:t xml:space="preserve">support AIDL service binding</w:t>
      </w:r>
    </w:p>
    <w:p>
      <w:pPr>
        <w:pStyle w:val="Compact"/>
        <w:numPr>
          <w:ilvl w:val="0"/>
          <w:numId w:val="1011"/>
        </w:numPr>
      </w:pPr>
      <w:r>
        <w:t xml:space="preserve">respect token expiration rules</w:t>
      </w:r>
    </w:p>
    <w:p>
      <w:pPr>
        <w:pStyle w:val="Compact"/>
        <w:numPr>
          <w:ilvl w:val="0"/>
          <w:numId w:val="1011"/>
        </w:numPr>
      </w:pPr>
      <w:r>
        <w:t xml:space="preserve">release tokens promptly</w:t>
      </w:r>
    </w:p>
    <w:p>
      <w:pPr>
        <w:pStyle w:val="Compact"/>
        <w:numPr>
          <w:ilvl w:val="0"/>
          <w:numId w:val="1011"/>
        </w:numPr>
      </w:pPr>
      <w:r>
        <w:t xml:space="preserve">handle broadcast events</w:t>
      </w:r>
    </w:p>
    <w:p>
      <w:pPr>
        <w:pStyle w:val="FirstParagraph"/>
      </w:pPr>
      <w:r>
        <w:t xml:space="preserve">Failure to comply with these requirements may result in vendor suspension from arbitration cycles.</w:t>
      </w:r>
    </w:p>
    <w:p>
      <w:r>
        <w:pict>
          <v:rect style="width:0;height:1.5pt" o:hralign="center" o:hrstd="t" o:hr="t"/>
        </w:pict>
      </w:r>
    </w:p>
    <w:bookmarkEnd w:id="34"/>
    <w:bookmarkStart w:id="35" w:name="developer-integration-example"/>
    <w:p>
      <w:pPr>
        <w:pStyle w:val="Heading1"/>
      </w:pPr>
      <w:r>
        <w:t xml:space="preserve">12. Developer Integration Example</w:t>
      </w:r>
    </w:p>
    <w:p>
      <w:pPr>
        <w:pStyle w:val="FirstParagraph"/>
      </w:pPr>
      <w:r>
        <w:t xml:space="preserve">Simplified client initialization example:</w:t>
      </w:r>
    </w:p>
    <w:p>
      <w:pPr>
        <w:pStyle w:val="Compact"/>
        <w:numPr>
          <w:ilvl w:val="0"/>
          <w:numId w:val="1012"/>
        </w:numPr>
      </w:pPr>
      <w:r>
        <w:t xml:space="preserve">Bind to arbitration service.</w:t>
      </w:r>
    </w:p>
    <w:p>
      <w:pPr>
        <w:pStyle w:val="Compact"/>
        <w:numPr>
          <w:ilvl w:val="0"/>
          <w:numId w:val="1012"/>
        </w:numPr>
      </w:pPr>
      <w:r>
        <w:t xml:space="preserve">Register vendor session.</w:t>
      </w:r>
    </w:p>
    <w:p>
      <w:pPr>
        <w:pStyle w:val="Compact"/>
        <w:numPr>
          <w:ilvl w:val="0"/>
          <w:numId w:val="1012"/>
        </w:numPr>
      </w:pPr>
      <w:r>
        <w:t xml:space="preserve">Listen for broadcast events.</w:t>
      </w:r>
    </w:p>
    <w:p>
      <w:pPr>
        <w:pStyle w:val="Compact"/>
        <w:numPr>
          <w:ilvl w:val="0"/>
          <w:numId w:val="1012"/>
        </w:numPr>
      </w:pPr>
      <w:r>
        <w:t xml:space="preserve">Request refresh tokens when allowed.</w:t>
      </w:r>
    </w:p>
    <w:p>
      <w:pPr>
        <w:pStyle w:val="Compact"/>
        <w:numPr>
          <w:ilvl w:val="0"/>
          <w:numId w:val="1012"/>
        </w:numPr>
      </w:pPr>
      <w:r>
        <w:t xml:space="preserve">Stage content.</w:t>
      </w:r>
    </w:p>
    <w:p>
      <w:pPr>
        <w:pStyle w:val="Compact"/>
        <w:numPr>
          <w:ilvl w:val="0"/>
          <w:numId w:val="1012"/>
        </w:numPr>
      </w:pPr>
      <w:r>
        <w:t xml:space="preserve">Render when granted token.</w:t>
      </w:r>
    </w:p>
    <w:p>
      <w:pPr>
        <w:pStyle w:val="FirstParagraph"/>
      </w:pPr>
      <w:r>
        <w:t xml:space="preserve">This integration model keeps vendors simple while the arbitration service performs scheduling and fairness enforcement.</w:t>
      </w:r>
    </w:p>
    <w:p>
      <w:r>
        <w:pict>
          <v:rect style="width:0;height:1.5pt" o:hralign="center" o:hrstd="t" o:hr="t"/>
        </w:pict>
      </w:r>
    </w:p>
    <w:bookmarkEnd w:id="35"/>
    <w:bookmarkStart w:id="36" w:name="relationship-to-other-volumes"/>
    <w:p>
      <w:pPr>
        <w:pStyle w:val="Heading1"/>
      </w:pPr>
      <w:r>
        <w:t xml:space="preserve">13. Relationship to Other Volumes</w:t>
      </w:r>
    </w:p>
    <w:p>
      <w:pPr>
        <w:pStyle w:val="FirstParagraph"/>
      </w:pPr>
      <w:r>
        <w:t xml:space="preserve">Volume 1 describes the architecture of the arbitration platform.</w:t>
      </w:r>
    </w:p>
    <w:p>
      <w:pPr>
        <w:pStyle w:val="BodyText"/>
      </w:pPr>
      <w:r>
        <w:t xml:space="preserve">Volume 2 describes the runtime decision algorithms used by the arbitration service.</w:t>
      </w:r>
    </w:p>
    <w:p>
      <w:pPr>
        <w:pStyle w:val="BodyText"/>
      </w:pPr>
      <w:r>
        <w:t xml:space="preserve">Volume 3 describes how vendors connect to the system and how the IPC interfaces are implemented.</w:t>
      </w:r>
    </w:p>
    <w:p>
      <w:pPr>
        <w:pStyle w:val="BodyText"/>
      </w:pPr>
      <w:r>
        <w:t xml:space="preserve">Together, the three volumes define the full Lock / Unlock Screen Inter‑App Arbitration platform.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2026-03-12T13:03:01Z</dcterms:created>
  <dcterms:modified xsi:type="dcterms:W3CDTF">2026-03-12T13:03:01Z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