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- Content Aware Widget Arbitration - Engineering Diagrams</w:t>
      </w:r>
    </w:p>
    <w:p>
      <w:pPr>
        <w:pStyle w:val="Heading2"/>
      </w:pPr>
      <w:r>
        <w:t>AI Engagement Prediction Model Flowchart</w:t>
      </w:r>
    </w:p>
    <w:p>
      <w:r>
        <w:t>This flowchart illustrates the data pipeline for evaluating widget engagement likelihood:</w:t>
        <w:br/>
        <w:t>- Triggered by lock/unlock events</w:t>
        <w:br/>
        <w:t>- Ingests widget metadata (type, last use)</w:t>
        <w:br/>
        <w:t>- Extracts user context (time of day, recent behavior)</w:t>
        <w:br/>
        <w:t>- Scores the widget using a trained AI model</w:t>
        <w:br/>
        <w:t>- Outputs a 0.0–1.0 engagement likelihood score</w:t>
      </w:r>
    </w:p>
    <w:p>
      <w:r>
        <w:drawing>
          <wp:inline xmlns:a="http://schemas.openxmlformats.org/drawingml/2006/main" xmlns:pic="http://schemas.openxmlformats.org/drawingml/2006/picture">
            <wp:extent cx="5486400" cy="4311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Model_Flowchart_Detai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1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Widget Refresh Arbitration Decision Tree</w:t>
      </w:r>
    </w:p>
    <w:p>
      <w:r>
        <w:t>This diagram outlines how the system decides whether to refresh or suppress widget updates:</w:t>
        <w:br/>
        <w:t>- Takes the engagement score</w:t>
        <w:br/>
        <w:t>- Compares against a threshold</w:t>
        <w:br/>
        <w:t>- Checks override policies</w:t>
        <w:br/>
        <w:t>- Final decision: Refresh or Suppress</w:t>
        <w:br/>
        <w:t>- Decision is logged and executed</w:t>
      </w:r>
    </w:p>
    <w:p>
      <w:r>
        <w:drawing>
          <wp:inline xmlns:a="http://schemas.openxmlformats.org/drawingml/2006/main" xmlns:pic="http://schemas.openxmlformats.org/drawingml/2006/picture">
            <wp:extent cx="5486400" cy="5632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Tree_Flowchart_Detai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213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252"/>
      <w:gridCol w:w="4252"/>
    </w:tblGrid>
    <w:tr>
      <w:tc>
        <w:tcPr>
          <w:tcW w:type="dxa" w:w="4252"/>
        </w:tcPr>
        <w:p>
          <w:r>
            <w:rPr>
              <w:i/>
            </w:rPr>
            <w:t>Author: Bill McCracken, Principal Product Architect, 913-707-1075, T-Mobile, T-Ads, (c) 2025 - Proprietary and Confidential - Do Not Copy</w:t>
          </w:r>
        </w:p>
      </w:tc>
      <w:tc>
        <w:tcPr>
          <w:tcW w:type="dxa" w:w="4252"/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