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Diagrams &amp; Flowcharts</w:t>
      </w:r>
    </w:p>
    <w:p>
      <w:pPr>
        <w:pStyle w:val="Heading2"/>
      </w:pPr>
      <w:r>
        <w:t>Lock Unlock Screen Inter-App Orchestration</w:t>
      </w:r>
    </w:p>
    <w:p>
      <w:pPr>
        <w:pStyle w:val="Heading3"/>
      </w:pPr>
      <w:r>
        <w:t>Diagram 1: Multi-App Lock/Unlock Priority Arbitration Flow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arbitr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Diagram 2: Broadcast Intent Signal Flow Between Apps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broadcas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  <w:gridCol w:w="1440"/>
    </w:tblGrid>
    <w:tr>
      <w:tc>
        <w:tcPr>
          <w:tcW w:type="dxa" w:w="5400"/>
        </w:tcPr>
        <w:p>
          <w:r>
            <w:rPr>
              <w:i/>
            </w:rPr>
            <w:t>Author: Bill McCracken, Principal Product Architect, 913-707-1075, T-Mobile, T-Ads, (c) 2025 - Prioprietary and Confidential - Do Not Copy</w:t>
          </w:r>
        </w:p>
      </w:tc>
      <w:tc>
        <w:tcPr>
          <w:tcW w:type="dxa" w:w="540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