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File Structure Guide: LockUnlock Inter-App Arbitration</w:t>
      </w:r>
    </w:p>
    <w:p>
      <w:pPr>
        <w:pStyle w:val="Heading2"/>
      </w:pPr>
      <w:r>
        <w:t>📂 Root Folders</w:t>
      </w:r>
    </w:p>
    <w:p>
      <w:r>
        <w:t>- /architecture: System diagrams, flowcharts</w:t>
      </w:r>
    </w:p>
    <w:p>
      <w:r>
        <w:t>- /specs: Arbitration manager spec, broadcast interface</w:t>
      </w:r>
    </w:p>
    <w:p>
      <w:r>
        <w:t>- /integration: Kotlin and Java template files</w:t>
      </w:r>
    </w:p>
    <w:p>
      <w:r>
        <w:t>- /qa: QA plans and test matrices</w:t>
      </w:r>
    </w:p>
    <w:p>
      <w:r>
        <w:t>- /legal: Pitch deck, briefing, one-pager, claims</w:t>
      </w:r>
    </w:p>
    <w:p>
      <w:pPr>
        <w:pStyle w:val="Heading2"/>
      </w:pPr>
      <w:r>
        <w:t>✔ Deliverables by Function</w:t>
      </w:r>
    </w:p>
    <w:p>
      <w:r>
        <w:t>• Arbitration logic → Kotlin template + spec</w:t>
      </w:r>
    </w:p>
    <w:p>
      <w:r>
        <w:t>• Intent structure → Integration templates</w:t>
      </w:r>
    </w:p>
    <w:p>
      <w:r>
        <w:t>• Device validation → QA Test Plan + test matrix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  <w:gridCol w:w="1440"/>
    </w:tblGrid>
    <w:tr>
      <w:tc>
        <w:tcPr>
          <w:tcW w:type="dxa" w:w="5400"/>
        </w:tcPr>
        <w:p>
          <w:r>
            <w:rPr>
              <w:i/>
            </w:rPr>
            <w:t>Author: Bill McCracken, Principal Product Architect, 913-707-1075, T-Mobile, T-Ads, (c) 2025 - Prioprietary and Confidential - Do Not Copy</w:t>
          </w:r>
        </w:p>
      </w:tc>
      <w:tc>
        <w:tcPr>
          <w:tcW w:type="dxa" w:w="540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