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Patent Claims Draft: LockUnlock Inter-App Arbitration</w:t>
      </w:r>
    </w:p>
    <w:p>
      <w:r>
        <w:t>1. A method for coordinating content refresh operations between two or more mobile applications comprising:</w:t>
      </w:r>
    </w:p>
    <w:p>
      <w:r>
        <w:t xml:space="preserve">   a. broadcasting a first intent (`ACTION_REQUEST_REFRESH`) from a first application during an unlock event;</w:t>
      </w:r>
    </w:p>
    <w:p>
      <w:r>
        <w:t xml:space="preserve">   b. receiving said intent by at least one peer application operating on the same device;</w:t>
      </w:r>
    </w:p>
    <w:p>
      <w:r>
        <w:t xml:space="preserve">   c. deferring refresh activity if a peer application is active;</w:t>
      </w:r>
    </w:p>
    <w:p>
      <w:r>
        <w:t xml:space="preserve">   d. refreshing content within a configured maximum duration (`maxRefreshDuration`);</w:t>
      </w:r>
    </w:p>
    <w:p>
      <w:r>
        <w:t xml:space="preserve">   e. broadcasting a second intent (`ACTION_REFRESH_COMPLETED`) upon completion of said refresh;</w:t>
      </w:r>
    </w:p>
    <w:p>
      <w:r>
        <w:t xml:space="preserve">   f. maintaining a local record of peer activity and refresh history;</w:t>
      </w:r>
    </w:p>
    <w:p>
      <w:r>
        <w:t xml:space="preserve">   g. applying a refresh quota to restrict refresh attempts per application within a fixed time window.</w:t>
      </w:r>
    </w:p>
    <w:p>
      <w:r>
        <w:t>2. The method of claim 1, wherein the quota is defined per application and enforced locally.</w:t>
      </w:r>
    </w:p>
    <w:p>
      <w:r>
        <w:t>3. The method of claim 1, wherein the duration is enforced using an internal timer or refresh monitor.</w:t>
      </w:r>
    </w:p>
    <w:p>
      <w:r>
        <w:t>4. The method of claim 1, wherein the refresh completion broadcast triggers retry logic in a deferred peer application.</w:t>
      </w:r>
    </w:p>
    <w:p>
      <w:r>
        <w:t>5. The method of claim 1, wherein all arbitration is decentralized and requires no external orchestration service.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  <w:gridCol w:w="1440"/>
    </w:tblGrid>
    <w:tr>
      <w:tc>
        <w:tcPr>
          <w:tcW w:type="dxa" w:w="5400"/>
        </w:tcPr>
        <w:p>
          <w:r>
            <w:rPr>
              <w:i/>
            </w:rPr>
            <w:t>Author: Bill McCracken, Principal Product Architect, 913-707-1075, T-Mobile, T-Ads, (c) 2025 - Prioprietary and Confidential - Do Not Copy</w:t>
          </w:r>
        </w:p>
      </w:tc>
      <w:tc>
        <w:tcPr>
          <w:tcW w:type="dxa" w:w="540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