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w:t>
      </w:r>
    </w:p>
    <w:p>
      <w:r>
        <w:t>LockUnlock Inter-App Arbitration Patent – T-Mobile USA</w:t>
      </w:r>
    </w:p>
    <w:p>
      <w:r>
        <w:t>Date: March 31, 2025</w:t>
      </w:r>
    </w:p>
    <w:p>
      <w:r>
        <w:t>Owner: Bill McCracken – Principal, Product Architecture, T-Ads</w:t>
      </w:r>
    </w:p>
    <w:p>
      <w:pPr>
        <w:pStyle w:val="Heading2"/>
      </w:pPr>
      <w:r>
        <w:t>🔍 Overview</w:t>
      </w:r>
    </w:p>
    <w:p>
      <w:r>
        <w:t>This invention introduces a fully cooperative refresh arbitration protocol for Android devices, allowing media-based applications (e.g., MetroZone and MetroPlay) to coordinate content refresh activities during unlock screen events. It addresses the common issue of competing apps attempting simultaneous refreshes, which degrades user experience and reduces monetization opportunities.</w:t>
      </w:r>
    </w:p>
    <w:p>
      <w:pPr>
        <w:pStyle w:val="Heading2"/>
      </w:pPr>
      <w:r>
        <w:t>💡 Invention Highlights</w:t>
      </w:r>
    </w:p>
    <w:p>
      <w:r>
        <w:t>- Decentralized Arbitration – No AI, server, or OS-level orchestration required.</w:t>
        <w:br/>
        <w:t>- Turn-Taking via Broadcast Intents – Uses ACTION_REQUEST_REFRESH and ACTION_REFRESH_COMPLETED signals.</w:t>
        <w:br/>
        <w:t>- Quota Enforcement – Each app is limited to a configurable number of refreshes per hour.</w:t>
        <w:br/>
        <w:t>- Time-Bounded Refresh – Each session is restricted by maxRefreshDuration (e.g., 15 seconds).</w:t>
        <w:br/>
        <w:t>- Peer Coordination – Each app defers refresh if the peer is active, and resumes upon receiving completion signal.</w:t>
        <w:br/>
        <w:t>- Inter-App Trust Model – Relies on intent-based cooperation, not system scheduling.</w:t>
      </w:r>
    </w:p>
    <w:p>
      <w:pPr>
        <w:pStyle w:val="Heading2"/>
      </w:pPr>
      <w:r>
        <w:t>⚙ Target Devices</w:t>
      </w:r>
    </w:p>
    <w:p>
      <w:r>
        <w:t>- Samsung S25 Ultra (T-Mobile, 2025)</w:t>
        <w:br/>
        <w:t>- Moto G 5G (T-Mobile, 2025)</w:t>
        <w:br/>
        <w:t>- Android 11 through Android 15</w:t>
      </w:r>
    </w:p>
    <w:p>
      <w:pPr>
        <w:pStyle w:val="Heading2"/>
      </w:pPr>
      <w:r>
        <w:t>🔐 Patentability</w:t>
      </w:r>
    </w:p>
    <w:p>
      <w:r>
        <w:t>This cooperative refresh system is novel because:</w:t>
        <w:br/>
        <w:t>- It is not implemented in current Android OS or OEM frameworks.</w:t>
        <w:br/>
        <w:t>- It avoids centralized scheduling mechanisms entirely.</w:t>
        <w:br/>
        <w:t>- It establishes a unique inter-app protocol for background coordination using broadcast signaling.</w:t>
      </w:r>
    </w:p>
    <w:p>
      <w:pPr>
        <w:pStyle w:val="Heading2"/>
      </w:pPr>
      <w:r>
        <w:t>📎 Included Deliverables</w:t>
      </w:r>
    </w:p>
    <w:p>
      <w:r>
        <w:t>- Patent Briefing, One-Pager, and Claims Draft</w:t>
        <w:br/>
        <w:t>- Developer Concept and Design Documents</w:t>
        <w:br/>
        <w:t>- Kotlin/Java Integration Templates</w:t>
        <w:br/>
        <w:t>- Arbitration Module Specification</w:t>
        <w:br/>
        <w:t>- QA Test Plan and Case Matrix</w:t>
        <w:br/>
        <w:t>- T-Mobile Branded Slide Deck</w:t>
        <w:br/>
        <w:t>- Document Manifest Spreadsheet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9360"/>
      <w:gridCol w:w="1440"/>
    </w:tblGrid>
    <w:tr>
      <w:tc>
        <w:tcPr>
          <w:tcW w:type="dxa" w:w="5400"/>
        </w:tcPr>
        <w:p>
          <w:r>
            <w:rPr>
              <w:i/>
            </w:rPr>
            <w:t>Author: Bill McCracken, Principal Product Architect, 913-707-1075, T-Mobile, T-Ads, (c) 2025 - Prioprietary and Confidential - Do Not Copy</w:t>
          </w:r>
        </w:p>
      </w:tc>
      <w:tc>
        <w:tcPr>
          <w:tcW w:type="dxa" w:w="5400"/>
        </w:tcPr>
        <w:p>
          <w:pPr>
            <w:jc w:val="center"/>
          </w:pPr>
          <w:r>
            <w:drawing>
              <wp:inline xmlns:a="http://schemas.openxmlformats.org/drawingml/2006/main" xmlns:pic="http://schemas.openxmlformats.org/drawingml/2006/picture">
                <wp:extent cx="274320" cy="27432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74320" cy="274320"/>
                        </a:xfrm>
                        <a:prstGeom prst="rect"/>
                      </pic:spPr>
                    </pic:pic>
                  </a:graphicData>
                </a:graphic>
              </wp:inline>
            </w:drawing>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