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Dynamic Ad Media Layer for Personalized App Discovery Journeys</w:t>
      </w:r>
    </w:p>
    <w:p>
      <w:r>
        <w:t>Inventor: Bill McCracken, Principal Product Architect, 913-707-1075, T-Mobile, T-Ads</w:t>
      </w:r>
    </w:p>
    <w:p>
      <w:r>
        <w:t>Invention Date: March 29, 2025</w:t>
      </w:r>
    </w:p>
    <w:p>
      <w:r>
        <w:br w:type="page"/>
      </w:r>
    </w:p>
    <w:p>
      <w:pPr>
        <w:pStyle w:val="Heading1"/>
      </w:pPr>
      <w:r>
        <w:t>1. Component Overview: Dynamic Ad Media Layer</w:t>
      </w:r>
    </w:p>
    <w:p>
      <w:r>
        <w:t>(Section content inserted here – summarized for display)</w:t>
      </w:r>
    </w:p>
    <w:p>
      <w:r>
        <w:br w:type="page"/>
      </w:r>
    </w:p>
    <w:p>
      <w:pPr>
        <w:pStyle w:val="Heading1"/>
      </w:pPr>
      <w:r>
        <w:t>2. Subcomponent Architecture</w:t>
      </w:r>
    </w:p>
    <w:p>
      <w:r>
        <w:t>(Section content inserted here – summarized for display)</w:t>
      </w:r>
    </w:p>
    <w:p>
      <w:r>
        <w:br w:type="page"/>
      </w:r>
    </w:p>
    <w:p>
      <w:pPr>
        <w:pStyle w:val="Heading1"/>
      </w:pPr>
      <w:r>
        <w:t>3. System Initialization Sequence</w:t>
      </w:r>
    </w:p>
    <w:p>
      <w:r>
        <w:t>(Section content inserted here – summarized for display)</w:t>
      </w:r>
    </w:p>
    <w:p>
      <w:r>
        <w:br w:type="page"/>
      </w:r>
    </w:p>
    <w:p>
      <w:pPr>
        <w:pStyle w:val="Heading1"/>
      </w:pPr>
      <w:r>
        <w:t>4. Normal Operation Flow</w:t>
      </w:r>
    </w:p>
    <w:p>
      <w:r>
        <w:t>(Section content inserted here – summarized for display)</w:t>
      </w:r>
    </w:p>
    <w:p>
      <w:r>
        <w:br w:type="page"/>
      </w:r>
    </w:p>
    <w:p>
      <w:pPr>
        <w:pStyle w:val="Heading1"/>
      </w:pPr>
      <w:r>
        <w:t>5. Dynamic Content Decision-Making</w:t>
      </w:r>
    </w:p>
    <w:p>
      <w:r>
        <w:t>(Section content inserted here – summarized for display)</w:t>
      </w:r>
    </w:p>
    <w:p>
      <w:r>
        <w:br w:type="page"/>
      </w:r>
    </w:p>
    <w:p>
      <w:pPr>
        <w:pStyle w:val="Heading1"/>
      </w:pPr>
      <w:r>
        <w:t>6. Consent-Driven Engagements</w:t>
      </w:r>
    </w:p>
    <w:p>
      <w:r>
        <w:t>(Section content inserted here – summarized for display)</w:t>
      </w:r>
    </w:p>
    <w:p>
      <w:r>
        <w:br w:type="page"/>
      </w:r>
    </w:p>
    <w:p>
      <w:pPr>
        <w:pStyle w:val="Heading1"/>
      </w:pPr>
      <w:r>
        <w:t>7. User Type Differentiation and Adaptation</w:t>
      </w:r>
    </w:p>
    <w:p>
      <w:r>
        <w:t>(Section content inserted here – summarized for display)</w:t>
      </w:r>
    </w:p>
    <w:p>
      <w:r>
        <w:br w:type="page"/>
      </w:r>
    </w:p>
    <w:p>
      <w:pPr>
        <w:pStyle w:val="Heading1"/>
      </w:pPr>
      <w:r>
        <w:t>8. Store Mode Activation and Deferred Scheduling</w:t>
      </w:r>
    </w:p>
    <w:p>
      <w:r>
        <w:t>(Section content inserted here – summarized for display)</w:t>
      </w:r>
    </w:p>
    <w:p>
      <w:r>
        <w:br w:type="page"/>
      </w:r>
    </w:p>
    <w:p>
      <w:pPr>
        <w:pStyle w:val="Heading1"/>
      </w:pPr>
      <w:r>
        <w:t>9. Recovery, Fallback, and Suppression Logic</w:t>
      </w:r>
    </w:p>
    <w:p>
      <w:r>
        <w:t>(Section content inserted here – summarized for display)</w:t>
      </w:r>
    </w:p>
    <w:p>
      <w:r>
        <w:br w:type="page"/>
      </w:r>
    </w:p>
    <w:p>
      <w:pPr>
        <w:pStyle w:val="Heading1"/>
      </w:pPr>
      <w:r>
        <w:t>10. AI Model and Continuous Learning</w:t>
      </w:r>
    </w:p>
    <w:p>
      <w:r>
        <w:t>(Section content inserted here – summarized for display)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Author: Team Beacon      T-Mobile (Logo)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