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A225" w14:textId="77777777" w:rsidR="00003FCB" w:rsidRPr="00003FCB" w:rsidRDefault="00003FCB" w:rsidP="00003FCB">
      <w:r w:rsidRPr="00003FCB">
        <w:rPr>
          <w:b/>
          <w:bCs/>
        </w:rPr>
        <w:t>Dynamic Ad Media Layer – Patent Summary</w:t>
      </w:r>
    </w:p>
    <w:p w14:paraId="76CE1E16" w14:textId="77777777" w:rsidR="00003FCB" w:rsidRPr="00003FCB" w:rsidRDefault="00003FCB" w:rsidP="00003FCB">
      <w:r w:rsidRPr="00003FCB">
        <w:rPr>
          <w:b/>
          <w:bCs/>
        </w:rPr>
        <w:t>Date Captured:</w:t>
      </w:r>
      <w:r w:rsidRPr="00003FCB">
        <w:t xml:space="preserve"> 2025-04-05</w:t>
      </w:r>
    </w:p>
    <w:p w14:paraId="5C65181E" w14:textId="77777777" w:rsidR="00003FCB" w:rsidRPr="00003FCB" w:rsidRDefault="00003FCB" w:rsidP="00003FCB">
      <w:r w:rsidRPr="00003FCB">
        <w:pict w14:anchorId="40DF5EE8">
          <v:rect id="_x0000_i1049" style="width:0;height:1.5pt" o:hralign="center" o:hrstd="t" o:hr="t" fillcolor="#a0a0a0" stroked="f"/>
        </w:pict>
      </w:r>
    </w:p>
    <w:p w14:paraId="2D5B26EB" w14:textId="77777777" w:rsidR="00003FCB" w:rsidRPr="00003FCB" w:rsidRDefault="00003FCB" w:rsidP="00003FCB">
      <w:pPr>
        <w:rPr>
          <w:b/>
          <w:bCs/>
        </w:rPr>
      </w:pPr>
      <w:r w:rsidRPr="00003FCB">
        <w:rPr>
          <w:b/>
          <w:bCs/>
        </w:rPr>
        <w:t>Title:</w:t>
      </w:r>
    </w:p>
    <w:p w14:paraId="1CF0CE0E" w14:textId="77777777" w:rsidR="00003FCB" w:rsidRPr="00003FCB" w:rsidRDefault="00003FCB" w:rsidP="00003FCB">
      <w:r w:rsidRPr="00003FCB">
        <w:rPr>
          <w:b/>
          <w:bCs/>
        </w:rPr>
        <w:t>Dynamic Ad Media Layer with Multi-DSP Arbitration, Carrier Data Optimization, and Dual-Mode Engagement</w:t>
      </w:r>
    </w:p>
    <w:p w14:paraId="5D1DA9E7" w14:textId="77777777" w:rsidR="00003FCB" w:rsidRPr="00003FCB" w:rsidRDefault="00003FCB" w:rsidP="00003FCB">
      <w:r w:rsidRPr="00003FCB">
        <w:pict w14:anchorId="5448C7CA">
          <v:rect id="_x0000_i1050" style="width:0;height:1.5pt" o:hralign="center" o:hrstd="t" o:hr="t" fillcolor="#a0a0a0" stroked="f"/>
        </w:pict>
      </w:r>
    </w:p>
    <w:p w14:paraId="560BF34F" w14:textId="77777777" w:rsidR="00003FCB" w:rsidRPr="00003FCB" w:rsidRDefault="00003FCB" w:rsidP="00003FCB">
      <w:pPr>
        <w:rPr>
          <w:b/>
          <w:bCs/>
        </w:rPr>
      </w:pPr>
      <w:r w:rsidRPr="00003FCB">
        <w:rPr>
          <w:b/>
          <w:bCs/>
        </w:rPr>
        <w:t>Abstract:</w:t>
      </w:r>
    </w:p>
    <w:p w14:paraId="23820939" w14:textId="77777777" w:rsidR="00003FCB" w:rsidRPr="00003FCB" w:rsidRDefault="00003FCB" w:rsidP="00003FCB">
      <w:r w:rsidRPr="00003FCB">
        <w:t>The invention discloses a carrier-owned Dynamic Ad Media Layer (DAML) deployed on mobile devices, enabling real-time dynamic management of multiple Demand-Side Platforms (DSPs) to deliver customized app recommendations, advertisements, and promotions during the out-of-box experience (OOBE) and device usage lifecycle.</w:t>
      </w:r>
    </w:p>
    <w:p w14:paraId="4EA89C48" w14:textId="77777777" w:rsidR="00003FCB" w:rsidRPr="00003FCB" w:rsidRDefault="00003FCB" w:rsidP="00003FCB">
      <w:r w:rsidRPr="00003FCB">
        <w:t>The media layer is configurable at runtime to assign different DSPs to different content roles (e.g., app recommendations, ads, app of the day). Leveraging carrier-exclusive data (billing history, app engagement, device analytics, network conditions), the system optimizes which apps and ads are recommended to users.</w:t>
      </w:r>
    </w:p>
    <w:p w14:paraId="3580686C" w14:textId="77777777" w:rsidR="00003FCB" w:rsidRPr="00003FCB" w:rsidRDefault="00003FCB" w:rsidP="00003FCB">
      <w:r w:rsidRPr="00003FCB">
        <w:t>Two user engagement modes are supported:</w:t>
      </w:r>
    </w:p>
    <w:p w14:paraId="1A32D127" w14:textId="77777777" w:rsidR="00003FCB" w:rsidRPr="00003FCB" w:rsidRDefault="00003FCB" w:rsidP="00003FCB">
      <w:pPr>
        <w:numPr>
          <w:ilvl w:val="0"/>
          <w:numId w:val="1"/>
        </w:numPr>
      </w:pPr>
      <w:r w:rsidRPr="00003FCB">
        <w:rPr>
          <w:b/>
          <w:bCs/>
        </w:rPr>
        <w:t>Customer Mode</w:t>
      </w:r>
      <w:r w:rsidRPr="00003FCB">
        <w:t>: Full app/ad engagement with rich UI presentations.</w:t>
      </w:r>
    </w:p>
    <w:p w14:paraId="2A8E7772" w14:textId="77777777" w:rsidR="00003FCB" w:rsidRPr="00003FCB" w:rsidRDefault="00003FCB" w:rsidP="00003FCB">
      <w:pPr>
        <w:numPr>
          <w:ilvl w:val="0"/>
          <w:numId w:val="1"/>
        </w:numPr>
      </w:pPr>
      <w:r w:rsidRPr="00003FCB">
        <w:rPr>
          <w:b/>
          <w:bCs/>
        </w:rPr>
        <w:t>Store Mode</w:t>
      </w:r>
      <w:r w:rsidRPr="00003FCB">
        <w:t>: Quick setup with deferred engagement and simple consent capture.</w:t>
      </w:r>
    </w:p>
    <w:p w14:paraId="368925AF" w14:textId="77777777" w:rsidR="00003FCB" w:rsidRPr="00003FCB" w:rsidRDefault="00003FCB" w:rsidP="00003FCB">
      <w:r w:rsidRPr="00003FCB">
        <w:t>The system features dynamic DSP selection, failover routing, deferred engagement scheduling, and DSP performance scoring. This architecture repositions control of device monetization flows back into the hands of the carrier.</w:t>
      </w:r>
    </w:p>
    <w:p w14:paraId="4677792D" w14:textId="77777777" w:rsidR="00003FCB" w:rsidRPr="00003FCB" w:rsidRDefault="00003FCB" w:rsidP="00003FCB">
      <w:r w:rsidRPr="00003FCB">
        <w:pict w14:anchorId="0725849A">
          <v:rect id="_x0000_i1051" style="width:0;height:1.5pt" o:hralign="center" o:hrstd="t" o:hr="t" fillcolor="#a0a0a0" stroked="f"/>
        </w:pict>
      </w:r>
    </w:p>
    <w:p w14:paraId="70707B93" w14:textId="77777777" w:rsidR="00003FCB" w:rsidRPr="00003FCB" w:rsidRDefault="00003FCB" w:rsidP="00003FCB">
      <w:pPr>
        <w:rPr>
          <w:b/>
          <w:bCs/>
        </w:rPr>
      </w:pPr>
      <w:r w:rsidRPr="00003FCB">
        <w:rPr>
          <w:b/>
          <w:bCs/>
        </w:rPr>
        <w:t>Key Innovations and Differentiators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507"/>
      </w:tblGrid>
      <w:tr w:rsidR="00003FCB" w:rsidRPr="00003FCB" w14:paraId="0E32BDC3" w14:textId="77777777" w:rsidTr="00003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1BA81" w14:textId="77777777" w:rsidR="00003FCB" w:rsidRPr="00003FCB" w:rsidRDefault="00003FCB" w:rsidP="00003FCB">
            <w:pPr>
              <w:rPr>
                <w:b/>
                <w:bCs/>
              </w:rPr>
            </w:pPr>
            <w:r w:rsidRPr="00003FC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29CA355" w14:textId="77777777" w:rsidR="00003FCB" w:rsidRPr="00003FCB" w:rsidRDefault="00003FCB" w:rsidP="00003FCB">
            <w:pPr>
              <w:rPr>
                <w:b/>
                <w:bCs/>
              </w:rPr>
            </w:pPr>
            <w:r w:rsidRPr="00003FCB">
              <w:rPr>
                <w:b/>
                <w:bCs/>
              </w:rPr>
              <w:t>Novelty</w:t>
            </w:r>
          </w:p>
        </w:tc>
      </w:tr>
      <w:tr w:rsidR="00003FCB" w:rsidRPr="00003FCB" w14:paraId="3E0C4501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9910" w14:textId="77777777" w:rsidR="00003FCB" w:rsidRPr="00003FCB" w:rsidRDefault="00003FCB" w:rsidP="00003FCB">
            <w:r w:rsidRPr="00003FCB">
              <w:t>Carrier-Owned Engagement Layer</w:t>
            </w:r>
          </w:p>
        </w:tc>
        <w:tc>
          <w:tcPr>
            <w:tcW w:w="0" w:type="auto"/>
            <w:vAlign w:val="center"/>
            <w:hideMark/>
          </w:tcPr>
          <w:p w14:paraId="514ACFA1" w14:textId="77777777" w:rsidR="00003FCB" w:rsidRPr="00003FCB" w:rsidRDefault="00003FCB" w:rsidP="00003FCB">
            <w:r w:rsidRPr="00003FCB">
              <w:t>Carrier owns and controls the app and ad recommendation process.</w:t>
            </w:r>
          </w:p>
        </w:tc>
      </w:tr>
      <w:tr w:rsidR="00003FCB" w:rsidRPr="00003FCB" w14:paraId="6E42BE63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1851" w14:textId="77777777" w:rsidR="00003FCB" w:rsidRPr="00003FCB" w:rsidRDefault="00003FCB" w:rsidP="00003FCB">
            <w:r w:rsidRPr="00003FCB">
              <w:t>Multi-DSP Modular Arbitration</w:t>
            </w:r>
          </w:p>
        </w:tc>
        <w:tc>
          <w:tcPr>
            <w:tcW w:w="0" w:type="auto"/>
            <w:vAlign w:val="center"/>
            <w:hideMark/>
          </w:tcPr>
          <w:p w14:paraId="1F71DD47" w14:textId="77777777" w:rsidR="00003FCB" w:rsidRPr="00003FCB" w:rsidRDefault="00003FCB" w:rsidP="00003FCB">
            <w:r w:rsidRPr="00003FCB">
              <w:t>Different DSPs supply different content types dynamically at runtime.</w:t>
            </w:r>
          </w:p>
        </w:tc>
      </w:tr>
      <w:tr w:rsidR="00003FCB" w:rsidRPr="00003FCB" w14:paraId="0D653677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D4C1" w14:textId="77777777" w:rsidR="00003FCB" w:rsidRPr="00003FCB" w:rsidRDefault="00003FCB" w:rsidP="00003FCB">
            <w:r w:rsidRPr="00003FCB">
              <w:lastRenderedPageBreak/>
              <w:t>Carrier Data Optimization</w:t>
            </w:r>
          </w:p>
        </w:tc>
        <w:tc>
          <w:tcPr>
            <w:tcW w:w="0" w:type="auto"/>
            <w:vAlign w:val="center"/>
            <w:hideMark/>
          </w:tcPr>
          <w:p w14:paraId="2F849C19" w14:textId="77777777" w:rsidR="00003FCB" w:rsidRPr="00003FCB" w:rsidRDefault="00003FCB" w:rsidP="00003FCB">
            <w:r w:rsidRPr="00003FCB">
              <w:t>Uses telecom billing data, app usage trends, and network analytics to optimize recommendations.</w:t>
            </w:r>
          </w:p>
        </w:tc>
      </w:tr>
      <w:tr w:rsidR="00003FCB" w:rsidRPr="00003FCB" w14:paraId="18FB7D14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1C5D" w14:textId="77777777" w:rsidR="00003FCB" w:rsidRPr="00003FCB" w:rsidRDefault="00003FCB" w:rsidP="00003FCB">
            <w:r w:rsidRPr="00003FCB">
              <w:t>Dynamic Engagement Modes</w:t>
            </w:r>
          </w:p>
        </w:tc>
        <w:tc>
          <w:tcPr>
            <w:tcW w:w="0" w:type="auto"/>
            <w:vAlign w:val="center"/>
            <w:hideMark/>
          </w:tcPr>
          <w:p w14:paraId="03381147" w14:textId="77777777" w:rsidR="00003FCB" w:rsidRPr="00003FCB" w:rsidRDefault="00003FCB" w:rsidP="00003FCB">
            <w:r w:rsidRPr="00003FCB">
              <w:t>Full Customer Mode and streamlined Store Mode engagement flows.</w:t>
            </w:r>
          </w:p>
        </w:tc>
      </w:tr>
      <w:tr w:rsidR="00003FCB" w:rsidRPr="00003FCB" w14:paraId="5A201DC8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2929" w14:textId="77777777" w:rsidR="00003FCB" w:rsidRPr="00003FCB" w:rsidRDefault="00003FCB" w:rsidP="00003FCB">
            <w:r w:rsidRPr="00003FCB">
              <w:t>Deferred Engagement Scheduler</w:t>
            </w:r>
          </w:p>
        </w:tc>
        <w:tc>
          <w:tcPr>
            <w:tcW w:w="0" w:type="auto"/>
            <w:vAlign w:val="center"/>
            <w:hideMark/>
          </w:tcPr>
          <w:p w14:paraId="5209B98C" w14:textId="77777777" w:rsidR="00003FCB" w:rsidRPr="00003FCB" w:rsidRDefault="00003FCB" w:rsidP="00003FCB">
            <w:r w:rsidRPr="00003FCB">
              <w:t>Re-engages users later if setup engagement is skipped.</w:t>
            </w:r>
          </w:p>
        </w:tc>
      </w:tr>
      <w:tr w:rsidR="00003FCB" w:rsidRPr="00003FCB" w14:paraId="353F36DF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5E0C" w14:textId="77777777" w:rsidR="00003FCB" w:rsidRPr="00003FCB" w:rsidRDefault="00003FCB" w:rsidP="00003FCB">
            <w:r w:rsidRPr="00003FCB">
              <w:t>DSP Failover and Performance Scoring</w:t>
            </w:r>
          </w:p>
        </w:tc>
        <w:tc>
          <w:tcPr>
            <w:tcW w:w="0" w:type="auto"/>
            <w:vAlign w:val="center"/>
            <w:hideMark/>
          </w:tcPr>
          <w:p w14:paraId="70DBA469" w14:textId="77777777" w:rsidR="00003FCB" w:rsidRPr="00003FCB" w:rsidRDefault="00003FCB" w:rsidP="00003FCB">
            <w:r w:rsidRPr="00003FCB">
              <w:t>Monitors DSPs dynamically and prioritizes better-performing DSPs.</w:t>
            </w:r>
          </w:p>
        </w:tc>
      </w:tr>
      <w:tr w:rsidR="00003FCB" w:rsidRPr="00003FCB" w14:paraId="49763A4A" w14:textId="77777777" w:rsidTr="0000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E40C" w14:textId="77777777" w:rsidR="00003FCB" w:rsidRPr="00003FCB" w:rsidRDefault="00003FCB" w:rsidP="00003FCB">
            <w:r w:rsidRPr="00003FCB">
              <w:t>Flexible Presentation Formats</w:t>
            </w:r>
          </w:p>
        </w:tc>
        <w:tc>
          <w:tcPr>
            <w:tcW w:w="0" w:type="auto"/>
            <w:vAlign w:val="center"/>
            <w:hideMark/>
          </w:tcPr>
          <w:p w14:paraId="1CC194CD" w14:textId="77777777" w:rsidR="00003FCB" w:rsidRPr="00003FCB" w:rsidRDefault="00003FCB" w:rsidP="00003FCB">
            <w:r w:rsidRPr="00003FCB">
              <w:t>Supports grids, lists, ad pages, and multimedia-driven app recommendations.</w:t>
            </w:r>
          </w:p>
        </w:tc>
      </w:tr>
    </w:tbl>
    <w:p w14:paraId="57A6FD1A" w14:textId="77777777" w:rsidR="00003FCB" w:rsidRPr="00003FCB" w:rsidRDefault="00003FCB" w:rsidP="00003FCB">
      <w:r w:rsidRPr="00003FCB">
        <w:pict w14:anchorId="455CB0DB">
          <v:rect id="_x0000_i1052" style="width:0;height:1.5pt" o:hralign="center" o:hrstd="t" o:hr="t" fillcolor="#a0a0a0" stroked="f"/>
        </w:pict>
      </w:r>
    </w:p>
    <w:p w14:paraId="3C48AE94" w14:textId="77777777" w:rsidR="00003FCB" w:rsidRPr="00003FCB" w:rsidRDefault="00003FCB" w:rsidP="00003FCB">
      <w:pPr>
        <w:rPr>
          <w:b/>
          <w:bCs/>
        </w:rPr>
      </w:pPr>
      <w:r w:rsidRPr="00003FCB">
        <w:rPr>
          <w:b/>
          <w:bCs/>
        </w:rPr>
        <w:t>Deployment Scenarios</w:t>
      </w:r>
    </w:p>
    <w:p w14:paraId="4B5E3F54" w14:textId="77777777" w:rsidR="00003FCB" w:rsidRPr="00003FCB" w:rsidRDefault="00003FCB" w:rsidP="00003FCB">
      <w:pPr>
        <w:numPr>
          <w:ilvl w:val="0"/>
          <w:numId w:val="2"/>
        </w:numPr>
      </w:pPr>
      <w:r w:rsidRPr="00003FCB">
        <w:rPr>
          <w:b/>
          <w:bCs/>
        </w:rPr>
        <w:t>Out-of-Box Experience (OOBE)</w:t>
      </w:r>
      <w:r w:rsidRPr="00003FCB">
        <w:br/>
        <w:t>Present app recommendations and ads immediately after device activation.</w:t>
      </w:r>
    </w:p>
    <w:p w14:paraId="79B05201" w14:textId="77777777" w:rsidR="00003FCB" w:rsidRPr="00003FCB" w:rsidRDefault="00003FCB" w:rsidP="00003FCB">
      <w:pPr>
        <w:numPr>
          <w:ilvl w:val="0"/>
          <w:numId w:val="2"/>
        </w:numPr>
      </w:pPr>
      <w:r w:rsidRPr="00003FCB">
        <w:rPr>
          <w:b/>
          <w:bCs/>
        </w:rPr>
        <w:t>Retail Store Setup</w:t>
      </w:r>
      <w:r w:rsidRPr="00003FCB">
        <w:br/>
        <w:t>Simplified flow allowing retail advocates to quickly configure devices while still capturing app install consent.</w:t>
      </w:r>
    </w:p>
    <w:p w14:paraId="7C46DE0E" w14:textId="77777777" w:rsidR="00003FCB" w:rsidRPr="00003FCB" w:rsidRDefault="00003FCB" w:rsidP="00003FCB">
      <w:pPr>
        <w:numPr>
          <w:ilvl w:val="0"/>
          <w:numId w:val="2"/>
        </w:numPr>
      </w:pPr>
      <w:r w:rsidRPr="00003FCB">
        <w:rPr>
          <w:b/>
          <w:bCs/>
        </w:rPr>
        <w:t>Post-Setup Deferred Engagement</w:t>
      </w:r>
      <w:r w:rsidRPr="00003FCB">
        <w:br/>
        <w:t>Re-engage customers with app recommendations later when higher engagement rates are predicted.</w:t>
      </w:r>
    </w:p>
    <w:p w14:paraId="14BDD9A6" w14:textId="77777777" w:rsidR="006F5030" w:rsidRDefault="006F5030"/>
    <w:sectPr w:rsidR="006F5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43998"/>
    <w:multiLevelType w:val="multilevel"/>
    <w:tmpl w:val="77A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319E8"/>
    <w:multiLevelType w:val="multilevel"/>
    <w:tmpl w:val="295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50820">
    <w:abstractNumId w:val="0"/>
  </w:num>
  <w:num w:numId="2" w16cid:durableId="997608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30"/>
    <w:rsid w:val="00003FCB"/>
    <w:rsid w:val="006F5030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A0330"/>
  <w15:chartTrackingRefBased/>
  <w15:docId w15:val="{D65F97D2-D6A1-4F6A-90A2-38A1E571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3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2025-04-06T04:43:00Z</dcterms:created>
  <dcterms:modified xsi:type="dcterms:W3CDTF">2025-04-06T04:44:00Z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65319ff4-1072-4300-804a-25ef381d87ce</vt:lpwstr>
  </property>
</Properties>
</file>