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97682" w14:textId="77777777" w:rsidR="00DA3AE5" w:rsidRPr="00DE08E0" w:rsidRDefault="0013422E">
      <w:pPr>
        <w:pStyle w:val="FirstParagraph"/>
        <w:rPr>
          <w:b/>
          <w:bCs/>
          <w:sz w:val="28"/>
          <w:szCs w:val="28"/>
        </w:rPr>
      </w:pPr>
      <w:r w:rsidRPr="00DE08E0">
        <w:rPr>
          <w:b/>
          <w:bCs/>
          <w:sz w:val="28"/>
          <w:szCs w:val="28"/>
        </w:rPr>
        <w:t>CONTINUATION CLAIM SKELETON</w:t>
      </w:r>
    </w:p>
    <w:p w14:paraId="6C597683" w14:textId="77777777" w:rsidR="00DA3AE5" w:rsidRPr="00DE08E0" w:rsidRDefault="0013422E">
      <w:pPr>
        <w:pStyle w:val="BodyText"/>
        <w:rPr>
          <w:b/>
          <w:bCs/>
          <w:sz w:val="28"/>
          <w:szCs w:val="28"/>
        </w:rPr>
      </w:pPr>
      <w:r w:rsidRPr="00DE08E0">
        <w:rPr>
          <w:b/>
          <w:bCs/>
          <w:sz w:val="28"/>
          <w:szCs w:val="28"/>
        </w:rPr>
        <w:t>Title: Dynamic Carrier-Managed eCommerce Advertisement and Auction Control System</w:t>
      </w:r>
    </w:p>
    <w:p w14:paraId="6C597684" w14:textId="77777777" w:rsidR="00DA3AE5" w:rsidRDefault="0013422E">
      <w:pPr>
        <w:pStyle w:val="BodyText"/>
      </w:pPr>
      <w:r>
        <w:t>Author: Bill McCracken, Principal Product Architect, T-Mobile, T-Ads (c) 2025 – Proprietary and Confidential – Do Not Copy</w:t>
      </w:r>
    </w:p>
    <w:p w14:paraId="6C597685" w14:textId="77777777" w:rsidR="00DA3AE5" w:rsidRDefault="0013422E">
      <w:pPr>
        <w:pStyle w:val="BodyText"/>
      </w:pPr>
      <w:r>
        <w:t>NOTE: This document defines continuation-only claim concepts and is not intended for inclusion in the initial filing.</w:t>
      </w:r>
    </w:p>
    <w:p w14:paraId="6C597686" w14:textId="77777777" w:rsidR="00DA3AE5" w:rsidRPr="00DE08E0" w:rsidRDefault="0013422E">
      <w:pPr>
        <w:pStyle w:val="BodyText"/>
        <w:rPr>
          <w:b/>
          <w:bCs/>
        </w:rPr>
      </w:pPr>
      <w:r w:rsidRPr="00DE08E0">
        <w:rPr>
          <w:b/>
          <w:bCs/>
        </w:rPr>
        <w:t>Independent Continuation Claim A — AI-Based Value Optimization</w:t>
      </w:r>
    </w:p>
    <w:p w14:paraId="6C597687" w14:textId="77777777" w:rsidR="00DA3AE5" w:rsidRDefault="0013422E">
      <w:pPr>
        <w:pStyle w:val="BodyText"/>
      </w:pPr>
      <w:r>
        <w:t>A computer-implemented system operated by a mobile network operator, wherein an artificial intelligence engine predicts long-term application value using longitudinal usage, retention, and churn signals, and dynamically controls auction eligibility, reserve pricing, and supplier exposure based on predicted lifetime value.</w:t>
      </w:r>
    </w:p>
    <w:p w14:paraId="6C597688" w14:textId="77777777" w:rsidR="00DA3AE5" w:rsidRPr="00DE08E0" w:rsidRDefault="0013422E">
      <w:pPr>
        <w:pStyle w:val="BodyText"/>
        <w:rPr>
          <w:b/>
          <w:bCs/>
        </w:rPr>
      </w:pPr>
      <w:r w:rsidRPr="00DE08E0">
        <w:rPr>
          <w:b/>
          <w:bCs/>
        </w:rPr>
        <w:t>Independent Continuation Claim B — Experimentation-Governed Market Operation</w:t>
      </w:r>
    </w:p>
    <w:p w14:paraId="6C597689" w14:textId="77777777" w:rsidR="00DA3AE5" w:rsidRDefault="0013422E">
      <w:pPr>
        <w:pStyle w:val="BodyText"/>
      </w:pPr>
      <w:r>
        <w:t>A computer-implemented system operated by a mobile network operator, wherein auction logic, pricing models, user experience flows, and policy enforcement rules are selectively deployed to experimental cohorts under controlled experimentation governance while maintaining a production baseline.</w:t>
      </w:r>
    </w:p>
    <w:p w14:paraId="6C59768A" w14:textId="77777777" w:rsidR="00DA3AE5" w:rsidRPr="00DE08E0" w:rsidRDefault="0013422E">
      <w:pPr>
        <w:pStyle w:val="BodyText"/>
        <w:rPr>
          <w:b/>
          <w:bCs/>
        </w:rPr>
      </w:pPr>
      <w:r w:rsidRPr="00DE08E0">
        <w:rPr>
          <w:b/>
          <w:bCs/>
        </w:rPr>
        <w:t>Independent Continuation Claim C — Policy-as-a-Service Market Enforcement</w:t>
      </w:r>
    </w:p>
    <w:p w14:paraId="6C59768B" w14:textId="77777777" w:rsidR="00DA3AE5" w:rsidRDefault="0013422E">
      <w:pPr>
        <w:pStyle w:val="BodyText"/>
      </w:pPr>
      <w:r>
        <w:t>A computer-implemented system operated by a mobile network operator, wherein regulatory, parental control, jurisdictional, and supplier policy rules are centrally managed and dynamically applied across multiple auction markets as a policy service independent of demand-side platforms.</w:t>
      </w:r>
    </w:p>
    <w:p w14:paraId="6C59768C" w14:textId="77777777" w:rsidR="00DA3AE5" w:rsidRDefault="0013422E">
      <w:pPr>
        <w:pStyle w:val="BodyText"/>
      </w:pPr>
      <w:r>
        <w:t>Dependent Continuation Concepts (Non-Exhaustive)</w:t>
      </w:r>
    </w:p>
    <w:p w14:paraId="6C59768D" w14:textId="77777777" w:rsidR="00DA3AE5" w:rsidRDefault="0013422E">
      <w:pPr>
        <w:pStyle w:val="Compact"/>
        <w:numPr>
          <w:ilvl w:val="0"/>
          <w:numId w:val="2"/>
        </w:numPr>
      </w:pPr>
      <w:r>
        <w:t>Retention-weighted bid clearing</w:t>
      </w:r>
    </w:p>
    <w:p w14:paraId="6C59768E" w14:textId="77777777" w:rsidR="00DA3AE5" w:rsidRDefault="0013422E">
      <w:pPr>
        <w:pStyle w:val="Compact"/>
        <w:numPr>
          <w:ilvl w:val="0"/>
          <w:numId w:val="2"/>
        </w:numPr>
      </w:pPr>
      <w:r>
        <w:t>Install-source-specific valuation models</w:t>
      </w:r>
    </w:p>
    <w:p w14:paraId="6C59768F" w14:textId="77777777" w:rsidR="00DA3AE5" w:rsidRDefault="0013422E">
      <w:pPr>
        <w:pStyle w:val="Compact"/>
        <w:numPr>
          <w:ilvl w:val="0"/>
          <w:numId w:val="2"/>
        </w:numPr>
      </w:pPr>
      <w:r>
        <w:t>Cross-category application affinity scoring</w:t>
      </w:r>
    </w:p>
    <w:p w14:paraId="6C597690" w14:textId="77777777" w:rsidR="00DA3AE5" w:rsidRDefault="0013422E">
      <w:pPr>
        <w:pStyle w:val="Compact"/>
        <w:numPr>
          <w:ilvl w:val="0"/>
          <w:numId w:val="2"/>
        </w:numPr>
      </w:pPr>
      <w:r>
        <w:t>Automated regulatory update ingestion</w:t>
      </w:r>
    </w:p>
    <w:p w14:paraId="6C597691" w14:textId="77777777" w:rsidR="00DA3AE5" w:rsidRDefault="0013422E">
      <w:pPr>
        <w:pStyle w:val="Compact"/>
        <w:numPr>
          <w:ilvl w:val="0"/>
          <w:numId w:val="2"/>
        </w:numPr>
      </w:pPr>
      <w:r>
        <w:t>OEM- or enterprise-specific enforcement profiles</w:t>
      </w:r>
    </w:p>
    <w:p w14:paraId="6C597692" w14:textId="77777777" w:rsidR="00DA3AE5" w:rsidRPr="00DE08E0" w:rsidRDefault="0013422E">
      <w:pPr>
        <w:pStyle w:val="FirstParagraph"/>
        <w:rPr>
          <w:i/>
          <w:iCs/>
        </w:rPr>
      </w:pPr>
      <w:r w:rsidRPr="00DE08E0">
        <w:rPr>
          <w:i/>
          <w:iCs/>
        </w:rPr>
        <w:t>End of Continuation Claim Skeleton</w:t>
      </w:r>
    </w:p>
    <w:sectPr w:rsidR="00DA3AE5" w:rsidRPr="00DE08E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F84A7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B6485C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25281755">
    <w:abstractNumId w:val="0"/>
  </w:num>
  <w:num w:numId="2" w16cid:durableId="867722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3AE5"/>
    <w:rsid w:val="0013422E"/>
    <w:rsid w:val="0014172D"/>
    <w:rsid w:val="0093365B"/>
    <w:rsid w:val="00DA3AE5"/>
    <w:rsid w:val="00DE08E0"/>
    <w:rsid w:val="00FE5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97682"/>
  <w15:docId w15:val="{243DB946-F6AF-446F-9224-0EFF636F3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206</Words>
  <Characters>1550</Characters>
  <Application>Microsoft Office Word</Application>
  <DocSecurity>0</DocSecurity>
  <Lines>29</Lines>
  <Paragraphs>19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McCracken, Bill</cp:lastModifiedBy>
  <cp:revision>4</cp:revision>
  <dcterms:created xsi:type="dcterms:W3CDTF">2026-01-26T09:00:00Z</dcterms:created>
  <dcterms:modified xsi:type="dcterms:W3CDTF">2026-01-27T22:25:00Z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7ec4b13b-8a9c-486e-9d06-779feded4845</vt:lpwstr>
  </property>
</Properties>
</file>