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91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внешнего курса. Этап №3</w:t>
      </w:r>
    </w:p>
    <w:p>
      <w:pPr>
        <w:pStyle w:val="Subtitle"/>
      </w:pPr>
      <w:r>
        <w:t xml:space="preserve">Криптография на практике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основы кибербезопасности;</w:t>
      </w:r>
    </w:p>
    <w:p>
      <w:pPr>
        <w:pStyle w:val="Compact"/>
        <w:numPr>
          <w:ilvl w:val="0"/>
          <w:numId w:val="1001"/>
        </w:numPr>
      </w:pPr>
      <w:r>
        <w:t xml:space="preserve">Понять, как работает Интернет, и какие у него</w:t>
      </w:r>
      <w:r>
        <w:t xml:space="preserve"> </w:t>
      </w:r>
      <w:r>
        <w:t xml:space="preserve">“слабые”</w:t>
      </w:r>
      <w:r>
        <w:t xml:space="preserve"> </w:t>
      </w:r>
      <w:r>
        <w:t xml:space="preserve">места;</w:t>
      </w:r>
    </w:p>
    <w:p>
      <w:pPr>
        <w:pStyle w:val="Compact"/>
        <w:numPr>
          <w:ilvl w:val="0"/>
          <w:numId w:val="1001"/>
        </w:numPr>
      </w:pPr>
      <w:r>
        <w:t xml:space="preserve">Уяснить, почему</w:t>
      </w:r>
      <w:r>
        <w:t xml:space="preserve"> </w:t>
      </w:r>
      <w:r>
        <w:rPr>
          <w:rStyle w:val="VerbatimChar"/>
        </w:rPr>
        <w:t xml:space="preserve">1245YOURNAME</w:t>
      </w:r>
      <w:r>
        <w:t xml:space="preserve"> </w:t>
      </w:r>
      <w:r>
        <w:t xml:space="preserve">- плохой пароль;</w:t>
      </w:r>
    </w:p>
    <w:p>
      <w:pPr>
        <w:pStyle w:val="Compact"/>
        <w:numPr>
          <w:ilvl w:val="0"/>
          <w:numId w:val="1001"/>
        </w:numPr>
      </w:pPr>
      <w:r>
        <w:t xml:space="preserve">Научиться отличать шифрование от электронной подписи;</w:t>
      </w:r>
    </w:p>
    <w:p>
      <w:pPr>
        <w:pStyle w:val="Compact"/>
        <w:numPr>
          <w:ilvl w:val="0"/>
          <w:numId w:val="1001"/>
        </w:numPr>
      </w:pPr>
      <w:r>
        <w:t xml:space="preserve">Узнать, как работают электронные платежи.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Пройти курс;</w:t>
      </w:r>
    </w:p>
    <w:p>
      <w:pPr>
        <w:pStyle w:val="Compact"/>
        <w:numPr>
          <w:ilvl w:val="0"/>
          <w:numId w:val="1002"/>
        </w:numPr>
      </w:pPr>
      <w:r>
        <w:t xml:space="preserve">Получить сертификат;</w:t>
      </w:r>
    </w:p>
    <w:p>
      <w:pPr>
        <w:pStyle w:val="Compact"/>
        <w:numPr>
          <w:ilvl w:val="0"/>
          <w:numId w:val="1002"/>
        </w:numPr>
      </w:pPr>
      <w:r>
        <w:t xml:space="preserve">Записать видео по каждому разделу;</w:t>
      </w:r>
    </w:p>
    <w:p>
      <w:pPr>
        <w:pStyle w:val="Compact"/>
        <w:numPr>
          <w:ilvl w:val="0"/>
          <w:numId w:val="1002"/>
        </w:numPr>
      </w:pPr>
      <w:r>
        <w:t xml:space="preserve">Записать итоговую презентацию по каждому этапу;</w:t>
      </w:r>
    </w:p>
    <w:p>
      <w:pPr>
        <w:pStyle w:val="Compact"/>
        <w:numPr>
          <w:ilvl w:val="0"/>
          <w:numId w:val="1002"/>
        </w:numPr>
      </w:pPr>
      <w:r>
        <w:t xml:space="preserve">Написать отчёт по прохождению контрольных мероприятий по каждому разделу.</w:t>
      </w:r>
    </w:p>
    <w:bookmarkEnd w:id="21"/>
    <w:bookmarkStart w:id="90" w:name="ход-выполнения-лабораторной-работы"/>
    <w:p>
      <w:pPr>
        <w:pStyle w:val="Heading1"/>
      </w:pPr>
      <w:r>
        <w:t xml:space="preserve">3. Ход выполнения лабораторной работы</w:t>
      </w:r>
    </w:p>
    <w:p>
      <w:pPr>
        <w:pStyle w:val="FirstParagraph"/>
      </w:pPr>
      <w:r>
        <w:t xml:space="preserve">Приступим к выполнению третьего этапа внешнего курса - Криптографии на практите.</w:t>
      </w:r>
    </w:p>
    <w:bookmarkStart w:id="42" w:name="введение-в-криптографию"/>
    <w:p>
      <w:pPr>
        <w:pStyle w:val="Heading2"/>
      </w:pPr>
      <w:r>
        <w:t xml:space="preserve">3.1 Введение в криптографию</w:t>
      </w:r>
    </w:p>
    <w:p>
      <w:pPr>
        <w:pStyle w:val="Compact"/>
        <w:numPr>
          <w:ilvl w:val="0"/>
          <w:numId w:val="1003"/>
        </w:numPr>
      </w:pPr>
      <w:r>
        <w:t xml:space="preserve">В асимметричных криптографических примитивах каждый участник генерирует себе пару из открытого и секретного ключа, в отличие от симметричной схемы, где используется общий секрет.</w:t>
      </w:r>
    </w:p>
    <w:bookmarkStart w:id="25" w:name="fig:001"/>
    <w:p>
      <w:pPr>
        <w:pStyle w:val="CaptionedFigure"/>
      </w:pPr>
      <w:r>
        <w:drawing>
          <wp:inline>
            <wp:extent cx="3733800" cy="2095096"/>
            <wp:effectExtent b="0" l="0" r="0" t="0"/>
            <wp:docPr descr="Задание №1. Условие и ответ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№1. Условие и ответ</w:t>
      </w:r>
    </w:p>
    <w:bookmarkEnd w:id="25"/>
    <w:p>
      <w:pPr>
        <w:pStyle w:val="Compact"/>
        <w:numPr>
          <w:ilvl w:val="0"/>
          <w:numId w:val="1004"/>
        </w:numPr>
      </w:pPr>
      <w:r>
        <w:t xml:space="preserve">Криптографическая хэш-функция выдаёт результат фиксированной длины, стойка к коллизиям и эффективно вычисляется, но не обеспечивает конфиденциальность, так как хэш не шифрует данные.</w:t>
      </w:r>
    </w:p>
    <w:bookmarkStart w:id="29" w:name="fig:002"/>
    <w:p>
      <w:pPr>
        <w:pStyle w:val="CaptionedFigure"/>
      </w:pPr>
      <w:r>
        <w:drawing>
          <wp:inline>
            <wp:extent cx="3733800" cy="2351971"/>
            <wp:effectExtent b="0" l="0" r="0" t="0"/>
            <wp:docPr descr="Задание №2. Условие и отве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№2. Условие и ответ</w:t>
      </w:r>
    </w:p>
    <w:bookmarkEnd w:id="29"/>
    <w:p>
      <w:pPr>
        <w:pStyle w:val="Compact"/>
        <w:numPr>
          <w:ilvl w:val="0"/>
          <w:numId w:val="1005"/>
        </w:numPr>
      </w:pPr>
      <w:r>
        <w:t xml:space="preserve">К алгоритмам цифровой подписи относятся RSA, ECDSA и ГОСТ Р 34.10-2012. AES это алгоритм шифрования, а SHA2 - хэш-функция.</w:t>
      </w:r>
    </w:p>
    <w:bookmarkStart w:id="33" w:name="fig:003"/>
    <w:p>
      <w:pPr>
        <w:pStyle w:val="CaptionedFigure"/>
      </w:pPr>
      <w:r>
        <w:drawing>
          <wp:inline>
            <wp:extent cx="3733800" cy="2457012"/>
            <wp:effectExtent b="0" l="0" r="0" t="0"/>
            <wp:docPr descr="Задание №3. Условие и ответ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№3. Условие и ответ</w:t>
      </w:r>
    </w:p>
    <w:bookmarkEnd w:id="33"/>
    <w:p>
      <w:pPr>
        <w:pStyle w:val="Compact"/>
        <w:numPr>
          <w:ilvl w:val="0"/>
          <w:numId w:val="1006"/>
        </w:numPr>
      </w:pPr>
      <w:r>
        <w:t xml:space="preserve">Код аутентификации сообщения использует общий секретный ключ для генерации и проверки аутентификационного тега, поэтому относится к симметричным примитивам.</w:t>
      </w:r>
    </w:p>
    <w:bookmarkStart w:id="37" w:name="fig:004"/>
    <w:p>
      <w:pPr>
        <w:pStyle w:val="CaptionedFigure"/>
      </w:pPr>
      <w:r>
        <w:drawing>
          <wp:inline>
            <wp:extent cx="3733800" cy="1872218"/>
            <wp:effectExtent b="0" l="0" r="0" t="0"/>
            <wp:docPr descr="Задание №4. Условие и ответ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№4. Условие и ответ</w:t>
      </w:r>
    </w:p>
    <w:bookmarkEnd w:id="37"/>
    <w:p>
      <w:pPr>
        <w:pStyle w:val="Compact"/>
        <w:numPr>
          <w:ilvl w:val="0"/>
          <w:numId w:val="1007"/>
        </w:numPr>
      </w:pPr>
      <w:r>
        <w:t xml:space="preserve">Во время обмена ключами Диффи-Хэллмана стороны делятся открытыми параметрами и математически (через остатки) получают одинаковый сеансовый ключ, не раскрывая его по сети.</w:t>
      </w:r>
    </w:p>
    <w:bookmarkStart w:id="41" w:name="fig:005"/>
    <w:p>
      <w:pPr>
        <w:pStyle w:val="CaptionedFigure"/>
      </w:pPr>
      <w:r>
        <w:drawing>
          <wp:inline>
            <wp:extent cx="3733800" cy="2121803"/>
            <wp:effectExtent b="0" l="0" r="0" t="0"/>
            <wp:docPr descr="Задание №5. Условие и ответ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№5. Условие и ответ</w:t>
      </w:r>
    </w:p>
    <w:bookmarkEnd w:id="41"/>
    <w:bookmarkEnd w:id="42"/>
    <w:bookmarkStart w:id="63" w:name="цифровая-подпись"/>
    <w:p>
      <w:pPr>
        <w:pStyle w:val="Heading2"/>
      </w:pPr>
      <w:r>
        <w:t xml:space="preserve">3.2 Цифровая подпись</w:t>
      </w:r>
    </w:p>
    <w:p>
      <w:pPr>
        <w:pStyle w:val="Compact"/>
        <w:numPr>
          <w:ilvl w:val="0"/>
          <w:numId w:val="1008"/>
        </w:numPr>
      </w:pPr>
      <w:r>
        <w:t xml:space="preserve">Подпись создаётся секретным ключом, а проверяется открытым, что полностью соответствует идее асимметричной криптографии</w:t>
      </w:r>
    </w:p>
    <w:bookmarkStart w:id="46" w:name="fig:006"/>
    <w:p>
      <w:pPr>
        <w:pStyle w:val="CaptionedFigure"/>
      </w:pPr>
      <w:r>
        <w:drawing>
          <wp:inline>
            <wp:extent cx="3733800" cy="1895293"/>
            <wp:effectExtent b="0" l="0" r="0" t="0"/>
            <wp:docPr descr="Задание №6. Условие и ответ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№6. Условие и ответ</w:t>
      </w:r>
    </w:p>
    <w:bookmarkEnd w:id="46"/>
    <w:p>
      <w:pPr>
        <w:pStyle w:val="Compact"/>
        <w:numPr>
          <w:ilvl w:val="0"/>
          <w:numId w:val="1009"/>
        </w:numPr>
      </w:pPr>
      <w:r>
        <w:t xml:space="preserve">Алгоритм проверки сравнивает полученную подпись с результатом применения открытого ключа к хэшу сообщения, поэтому без исходных данных не обойтись.</w:t>
      </w:r>
    </w:p>
    <w:bookmarkStart w:id="50" w:name="fig:007"/>
    <w:p>
      <w:pPr>
        <w:pStyle w:val="CaptionedFigure"/>
      </w:pPr>
      <w:r>
        <w:drawing>
          <wp:inline>
            <wp:extent cx="3733800" cy="2099814"/>
            <wp:effectExtent b="0" l="0" r="0" t="0"/>
            <wp:docPr descr="Задание №7. Условие и ответ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№7. Условие и ответ</w:t>
      </w:r>
    </w:p>
    <w:bookmarkEnd w:id="50"/>
    <w:p>
      <w:pPr>
        <w:pStyle w:val="Compact"/>
        <w:numPr>
          <w:ilvl w:val="0"/>
          <w:numId w:val="1010"/>
        </w:numPr>
      </w:pPr>
      <w:r>
        <w:t xml:space="preserve">Цифровая подпись не обеспечивает конфиденциальность, она лишь подтверждает авторство и целостность, но не скрывает содержимое.</w:t>
      </w:r>
    </w:p>
    <w:bookmarkStart w:id="54" w:name="fig:008"/>
    <w:p>
      <w:pPr>
        <w:pStyle w:val="CaptionedFigure"/>
      </w:pPr>
      <w:r>
        <w:drawing>
          <wp:inline>
            <wp:extent cx="3733800" cy="2104309"/>
            <wp:effectExtent b="0" l="0" r="0" t="0"/>
            <wp:docPr descr="Задание №8. Условие и ответ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№8. Условие и ответ</w:t>
      </w:r>
    </w:p>
    <w:bookmarkEnd w:id="54"/>
    <w:p>
      <w:pPr>
        <w:pStyle w:val="Compact"/>
        <w:numPr>
          <w:ilvl w:val="0"/>
          <w:numId w:val="1011"/>
        </w:numPr>
      </w:pPr>
      <w:r>
        <w:t xml:space="preserve">Для налоговой отчётности нужна усиленная квалифицированная подпись.</w:t>
      </w:r>
    </w:p>
    <w:bookmarkStart w:id="58" w:name="fig:009"/>
    <w:p>
      <w:pPr>
        <w:pStyle w:val="CaptionedFigure"/>
      </w:pPr>
      <w:r>
        <w:drawing>
          <wp:inline>
            <wp:extent cx="3733800" cy="2001402"/>
            <wp:effectExtent b="0" l="0" r="0" t="0"/>
            <wp:docPr descr="Задание №9. Условие и ответ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№9. Условие и ответ</w:t>
      </w:r>
    </w:p>
    <w:bookmarkEnd w:id="58"/>
    <w:p>
      <w:pPr>
        <w:pStyle w:val="Compact"/>
        <w:numPr>
          <w:ilvl w:val="0"/>
          <w:numId w:val="1012"/>
        </w:numPr>
      </w:pPr>
      <w:r>
        <w:t xml:space="preserve">Квалифицированный сертификат выдаётся только в аккредитированном удостоверяющем (сертификационном) центре</w:t>
      </w:r>
    </w:p>
    <w:bookmarkStart w:id="62" w:name="fig:010"/>
    <w:p>
      <w:pPr>
        <w:pStyle w:val="CaptionedFigure"/>
      </w:pPr>
      <w:r>
        <w:drawing>
          <wp:inline>
            <wp:extent cx="3733800" cy="2091071"/>
            <wp:effectExtent b="0" l="0" r="0" t="0"/>
            <wp:docPr descr="Задание №10. Условие и ответ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№10. Условие и ответ</w:t>
      </w:r>
    </w:p>
    <w:bookmarkEnd w:id="62"/>
    <w:bookmarkEnd w:id="63"/>
    <w:bookmarkStart w:id="76" w:name="электронные-платежи"/>
    <w:p>
      <w:pPr>
        <w:pStyle w:val="Heading2"/>
      </w:pPr>
      <w:r>
        <w:t xml:space="preserve">3.3 Электронные платежи</w:t>
      </w:r>
    </w:p>
    <w:p>
      <w:pPr>
        <w:pStyle w:val="Compact"/>
        <w:numPr>
          <w:ilvl w:val="0"/>
          <w:numId w:val="1013"/>
        </w:numPr>
      </w:pPr>
      <w:r>
        <w:t xml:space="preserve">Bitcoin это криптовалюта, SecurePay это шлюз, а POS-терминал и банкомат это устройства.</w:t>
      </w:r>
    </w:p>
    <w:bookmarkStart w:id="67" w:name="fig:011"/>
    <w:p>
      <w:pPr>
        <w:pStyle w:val="CaptionedFigure"/>
      </w:pPr>
      <w:r>
        <w:drawing>
          <wp:inline>
            <wp:extent cx="3733800" cy="2560934"/>
            <wp:effectExtent b="0" l="0" r="0" t="0"/>
            <wp:docPr descr="Задание №11. Условие и ответ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№11. Условие и ответ</w:t>
      </w:r>
    </w:p>
    <w:bookmarkEnd w:id="67"/>
    <w:p>
      <w:pPr>
        <w:pStyle w:val="Compact"/>
        <w:numPr>
          <w:ilvl w:val="0"/>
          <w:numId w:val="1014"/>
        </w:numPr>
      </w:pPr>
      <w:r>
        <w:t xml:space="preserve">Капча не является фактором владения или свойством, а пинкод с паролем являются двойным применением одного фактора.</w:t>
      </w:r>
    </w:p>
    <w:bookmarkStart w:id="71" w:name="fig:012"/>
    <w:p>
      <w:pPr>
        <w:pStyle w:val="CaptionedFigure"/>
      </w:pPr>
      <w:r>
        <w:drawing>
          <wp:inline>
            <wp:extent cx="3733800" cy="2349718"/>
            <wp:effectExtent b="0" l="0" r="0" t="0"/>
            <wp:docPr descr="Задание №12. Условие и ответ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№12. Условие и ответ</w:t>
      </w:r>
    </w:p>
    <w:bookmarkEnd w:id="71"/>
    <w:p>
      <w:pPr>
        <w:pStyle w:val="Compact"/>
        <w:numPr>
          <w:ilvl w:val="0"/>
          <w:numId w:val="1015"/>
        </w:numPr>
      </w:pPr>
      <w:r>
        <w:t xml:space="preserve">Банк-эмитент проверяет владельца карты по нескольким факторам перед одобрением транзакции.</w:t>
      </w:r>
    </w:p>
    <w:bookmarkStart w:id="75" w:name="fig:013"/>
    <w:p>
      <w:pPr>
        <w:pStyle w:val="CaptionedFigure"/>
      </w:pPr>
      <w:r>
        <w:drawing>
          <wp:inline>
            <wp:extent cx="3733800" cy="2107442"/>
            <wp:effectExtent b="0" l="0" r="0" t="0"/>
            <wp:docPr descr="Задание №13. Условие и ответ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№13. Условие и ответ</w:t>
      </w:r>
    </w:p>
    <w:bookmarkEnd w:id="75"/>
    <w:bookmarkEnd w:id="76"/>
    <w:bookmarkStart w:id="89" w:name="блокчейн"/>
    <w:p>
      <w:pPr>
        <w:pStyle w:val="Heading2"/>
      </w:pPr>
      <w:r>
        <w:t xml:space="preserve">3.4 Блокчейн</w:t>
      </w:r>
    </w:p>
    <w:p>
      <w:pPr>
        <w:pStyle w:val="Compact"/>
        <w:numPr>
          <w:ilvl w:val="0"/>
          <w:numId w:val="1016"/>
        </w:numPr>
      </w:pPr>
      <w:r>
        <w:t xml:space="preserve">В доказательстве работы используется сложность нахождения прообраза</w:t>
      </w:r>
    </w:p>
    <w:bookmarkStart w:id="80" w:name="fig:014"/>
    <w:p>
      <w:pPr>
        <w:pStyle w:val="CaptionedFigure"/>
      </w:pPr>
      <w:r>
        <w:drawing>
          <wp:inline>
            <wp:extent cx="3733800" cy="2102944"/>
            <wp:effectExtent b="0" l="0" r="0" t="0"/>
            <wp:docPr descr="Задание №14. Условие и ответ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№14. Условие и ответ</w:t>
      </w:r>
    </w:p>
    <w:bookmarkEnd w:id="80"/>
    <w:p>
      <w:pPr>
        <w:pStyle w:val="Compact"/>
        <w:numPr>
          <w:ilvl w:val="0"/>
          <w:numId w:val="1017"/>
        </w:numPr>
      </w:pPr>
      <w:r>
        <w:t xml:space="preserve">Консенсус в блокчейнах обладает свойствами живучести, открытости и постоянства. Живучесть означает, что сеть продолжает работать при сбоях. Постоянство означает, что добавленный блок нельзя изменить. (консенсус уже заложен в вопросе)</w:t>
      </w:r>
    </w:p>
    <w:bookmarkStart w:id="84" w:name="fig:015"/>
    <w:p>
      <w:pPr>
        <w:pStyle w:val="CaptionedFigure"/>
      </w:pPr>
      <w:r>
        <w:drawing>
          <wp:inline>
            <wp:extent cx="3733800" cy="2354228"/>
            <wp:effectExtent b="0" l="0" r="0" t="0"/>
            <wp:docPr descr="Задание №15. Условие и ответ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№15. Условие и ответ</w:t>
      </w:r>
    </w:p>
    <w:bookmarkEnd w:id="84"/>
    <w:p>
      <w:pPr>
        <w:pStyle w:val="Compact"/>
        <w:numPr>
          <w:ilvl w:val="0"/>
          <w:numId w:val="1018"/>
        </w:numPr>
      </w:pPr>
      <w:r>
        <w:t xml:space="preserve">Участники блокчейна хранят секретные ключи для цифровой подписи. Приватный ключ подписи используется для подтверждения транзакций, а шифрование и обмен ключами в обычных блокчейнах напрямую не задействованы.</w:t>
      </w:r>
    </w:p>
    <w:bookmarkStart w:id="88" w:name="fig:016"/>
    <w:p>
      <w:pPr>
        <w:pStyle w:val="CaptionedFigure"/>
      </w:pPr>
      <w:r>
        <w:drawing>
          <wp:inline>
            <wp:extent cx="3733800" cy="2096672"/>
            <wp:effectExtent b="0" l="0" r="0" t="0"/>
            <wp:docPr descr="Задание №16. Условие и ответ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№16. Условие и ответ</w:t>
      </w:r>
    </w:p>
    <w:bookmarkEnd w:id="88"/>
    <w:bookmarkEnd w:id="89"/>
    <w:bookmarkEnd w:id="90"/>
    <w:bookmarkStart w:id="99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результате выполнения третьего этапа внешнего курса я узнал больше о базовых принципах криптографии, изучил основные термины, условия применения хэш-функций, а также работу блокчейна.</w:t>
      </w:r>
    </w:p>
    <w:p>
      <w:pPr>
        <w:pStyle w:val="BodyText"/>
      </w:pPr>
      <w:r>
        <w:t xml:space="preserve">Внешний курс был успешно завершен. Сертификат в нём не выдаётся, поэтому оставим фото о прохождении курса</w:t>
      </w:r>
    </w:p>
    <w:bookmarkStart w:id="94" w:name="fig:017"/>
    <w:p>
      <w:pPr>
        <w:pStyle w:val="CaptionedFigure"/>
      </w:pPr>
      <w:r>
        <w:drawing>
          <wp:inline>
            <wp:extent cx="3733800" cy="1991359"/>
            <wp:effectExtent b="0" l="0" r="0" t="0"/>
            <wp:docPr descr="Поздравление за завершение курса" title="" id="92" name="Picture"/>
            <a:graphic>
              <a:graphicData uri="http://schemas.openxmlformats.org/drawingml/2006/picture">
                <pic:pic>
                  <pic:nvPicPr>
                    <pic:cNvPr descr="image/cer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Поздравление за завершение курса</w:t>
      </w:r>
    </w:p>
    <w:bookmarkEnd w:id="94"/>
    <w:bookmarkStart w:id="98" w:name="fig:018"/>
    <w:p>
      <w:pPr>
        <w:pStyle w:val="CaptionedFigure"/>
      </w:pPr>
      <w:r>
        <w:drawing>
          <wp:inline>
            <wp:extent cx="3733800" cy="3173545"/>
            <wp:effectExtent b="0" l="0" r="0" t="0"/>
            <wp:docPr descr="Отсутствие сертификата для курса" title="" id="96" name="Picture"/>
            <a:graphic>
              <a:graphicData uri="http://schemas.openxmlformats.org/drawingml/2006/picture">
                <pic:pic>
                  <pic:nvPicPr>
                    <pic:cNvPr descr="image/no_cert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Отсутствие сертификата для курса</w:t>
      </w:r>
    </w:p>
    <w:bookmarkEnd w:id="98"/>
    <w:bookmarkEnd w:id="99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Start w:id="101" w:name="ref-stepi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БФУ им. И. Канта. Основы кибербезопасности [Электронный ресурс]. Stepik. URL:</w:t>
      </w:r>
      <w:r>
        <w:t xml:space="preserve"> </w:t>
      </w:r>
      <w:hyperlink r:id="rId100">
        <w:r>
          <w:rPr>
            <w:rStyle w:val="Hyperlink"/>
          </w:rPr>
          <w:t xml:space="preserve">https://stepik.org/course/111512</w:t>
        </w:r>
      </w:hyperlink>
      <w:r>
        <w:t xml:space="preserve"> </w:t>
      </w:r>
      <w:r>
        <w:t xml:space="preserve">(дата обращения: 11.05.2026).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hyperlink" Id="rId100" Target="https://stepik.org/course/1115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stepik.org/course/1115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внешнего курса. Этап №3</dc:title>
  <dc:creator>Сергеев Даниил Олегович</dc:creator>
  <dc:language>ru-RU</dc:language>
  <cp:keywords/>
  <dcterms:created xsi:type="dcterms:W3CDTF">2026-05-11T18:55:13Z</dcterms:created>
  <dcterms:modified xsi:type="dcterms:W3CDTF">2026-05-11T18:55:13Z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Криптография на практике</vt:lpwstr>
  </property>
  <property fmtid="{D5CDD505-2E9C-101B-9397-08002B2CF9AE}" pid="16" name="toc-title">
    <vt:lpwstr>Содержание</vt:lpwstr>
  </property>
</Properties>
</file>