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Сергеев Даниил Олегович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</w:t>
      </w:r>
      <w:r>
        <w:t xml:space="preserve"> </w:t>
      </w:r>
      <w:r>
        <w:t xml:space="preserve">[1]</w:t>
      </w:r>
      <w:r>
        <w:t xml:space="preserve">.</w:t>
      </w:r>
    </w:p>
    <w:bookmarkEnd w:id="20"/>
    <w:bookmarkStart w:id="64" w:name="ход-выполнения-лабораторной-работы"/>
    <w:p>
      <w:pPr>
        <w:pStyle w:val="Heading1"/>
      </w:pPr>
      <w:r>
        <w:t xml:space="preserve">2. Ход выполнения лабораторной работы</w:t>
      </w:r>
    </w:p>
    <w:bookmarkStart w:id="41" w:name="создание-нового-пользователя"/>
    <w:p>
      <w:pPr>
        <w:pStyle w:val="Heading2"/>
      </w:pPr>
      <w:r>
        <w:t xml:space="preserve">2.1 Создание нового пользователя</w:t>
      </w:r>
    </w:p>
    <w:p>
      <w:pPr>
        <w:pStyle w:val="FirstParagraph"/>
      </w:pPr>
      <w:r>
        <w:t xml:space="preserve">Создадим пользователя</w:t>
      </w:r>
      <w:r>
        <w:t xml:space="preserve"> </w:t>
      </w:r>
      <w:r>
        <w:rPr>
          <w:rStyle w:val="VerbatimChar"/>
        </w:rPr>
        <w:t xml:space="preserve">guest2</w:t>
      </w:r>
      <w:r>
        <w:t xml:space="preserve">, как в лабораторной работе №2, и зададим ему пароль. Добавим его в группу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useradd</w:t>
      </w:r>
      <w:r>
        <w:rPr>
          <w:rStyle w:val="NormalTok"/>
        </w:rPr>
        <w:t xml:space="preserve"> guest2</w:t>
      </w:r>
      <w:r>
        <w:br/>
      </w:r>
      <w:r>
        <w:rPr>
          <w:rStyle w:val="FunctionTok"/>
        </w:rPr>
        <w:t xml:space="preserve">passwd</w:t>
      </w:r>
      <w:r>
        <w:rPr>
          <w:rStyle w:val="NormalTok"/>
        </w:rPr>
        <w:t xml:space="preserve"> guest2</w:t>
      </w:r>
      <w:r>
        <w:br/>
      </w:r>
      <w:r>
        <w:br/>
      </w:r>
      <w:r>
        <w:rPr>
          <w:rStyle w:val="ExtensionTok"/>
        </w:rPr>
        <w:t xml:space="preserve">gpasswd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guest2 guest</w:t>
      </w:r>
    </w:p>
    <w:bookmarkStart w:id="24" w:name="fig:001"/>
    <w:p>
      <w:pPr>
        <w:pStyle w:val="CaptionedFigure"/>
      </w:pPr>
      <w:r>
        <w:drawing>
          <wp:inline>
            <wp:extent cx="3733800" cy="1420332"/>
            <wp:effectExtent b="0" l="0" r="0" t="0"/>
            <wp:docPr descr="Добавление пользователя guest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0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пользователя</w:t>
      </w:r>
      <w:r>
        <w:t xml:space="preserve"> </w:t>
      </w:r>
      <w:r>
        <w:rPr>
          <w:rStyle w:val="VerbatimChar"/>
        </w:rPr>
        <w:t xml:space="preserve">guest</w:t>
      </w:r>
    </w:p>
    <w:bookmarkEnd w:id="24"/>
    <w:p>
      <w:pPr>
        <w:pStyle w:val="BodyText"/>
      </w:pPr>
      <w:r>
        <w:t xml:space="preserve">Откроем два терминала и зайдем в них за пользователя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guest2</w:t>
      </w:r>
      <w:r>
        <w:t xml:space="preserve">. Проверим, в какой директории мы находимся с помощью</w:t>
      </w:r>
      <w:r>
        <w:t xml:space="preserve"> </w:t>
      </w:r>
      <w:r>
        <w:rPr>
          <w:rStyle w:val="VerbatimChar"/>
        </w:rPr>
        <w:t xml:space="preserve">pwd</w:t>
      </w:r>
      <w:r>
        <w:t xml:space="preserve">. Сравним с выводом приглашения командной строки. Уточним имя пользователя и группы командами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.</w:t>
      </w:r>
    </w:p>
    <w:bookmarkStart w:id="28" w:name="fig:002"/>
    <w:p>
      <w:pPr>
        <w:pStyle w:val="CaptionedFigure"/>
      </w:pPr>
      <w:r>
        <w:drawing>
          <wp:inline>
            <wp:extent cx="3733800" cy="1028432"/>
            <wp:effectExtent b="0" l="0" r="0" t="0"/>
            <wp:docPr descr="Идентификация пользователя guest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28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Идентификация пользователя guest2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1271080"/>
            <wp:effectExtent b="0" l="0" r="0" t="0"/>
            <wp:docPr descr="Идентификация пользователя guest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1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Идентификация пользователя guest</w:t>
      </w:r>
    </w:p>
    <w:bookmarkEnd w:id="32"/>
    <w:p>
      <w:pPr>
        <w:pStyle w:val="BodyText"/>
      </w:pPr>
      <w:r>
        <w:t xml:space="preserve">Позиция с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равна директории</w:t>
      </w:r>
      <w:r>
        <w:t xml:space="preserve"> </w:t>
      </w:r>
      <w:r>
        <w:rPr>
          <w:rStyle w:val="VerbatimChar"/>
        </w:rPr>
        <w:t xml:space="preserve">/home/dosergeev</w:t>
      </w:r>
      <w:r>
        <w:t xml:space="preserve">, из которой мы заходили за guest-пользователей. В приглашении указана директория</w:t>
      </w:r>
      <w:r>
        <w:t xml:space="preserve"> </w:t>
      </w:r>
      <w:r>
        <w:rPr>
          <w:rStyle w:val="VerbatimChar"/>
        </w:rPr>
        <w:t xml:space="preserve">dosergeev</w:t>
      </w:r>
      <w:r>
        <w:t xml:space="preserve">, что соответствует выводу команды.</w:t>
      </w:r>
    </w:p>
    <w:p>
      <w:pPr>
        <w:pStyle w:val="BodyText"/>
      </w:pPr>
      <w:r>
        <w:t xml:space="preserve">Определим в какие группы входят пользователи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guest2</w:t>
      </w:r>
      <w:r>
        <w:t xml:space="preserve">. Сравним вывод двух команд:</w:t>
      </w:r>
    </w:p>
    <w:p>
      <w:pPr>
        <w:pStyle w:val="SourceCode"/>
      </w:pPr>
      <w:r>
        <w:rPr>
          <w:rStyle w:val="CommentTok"/>
        </w:rPr>
        <w:t xml:space="preserve"># 1st case</w:t>
      </w:r>
      <w:r>
        <w:br/>
      </w:r>
      <w:r>
        <w:rPr>
          <w:rStyle w:val="FunctionTok"/>
        </w:rPr>
        <w:t xml:space="preserve">groups</w:t>
      </w:r>
      <w:r>
        <w:rPr>
          <w:rStyle w:val="NormalTok"/>
        </w:rPr>
        <w:t xml:space="preserve"> guest</w:t>
      </w:r>
      <w:r>
        <w:br/>
      </w:r>
      <w:r>
        <w:rPr>
          <w:rStyle w:val="FunctionTok"/>
        </w:rPr>
        <w:t xml:space="preserve">groups</w:t>
      </w:r>
      <w:r>
        <w:rPr>
          <w:rStyle w:val="NormalTok"/>
        </w:rPr>
        <w:t xml:space="preserve"> guest2</w:t>
      </w:r>
      <w:r>
        <w:br/>
      </w:r>
      <w:r>
        <w:rPr>
          <w:rStyle w:val="CommentTok"/>
        </w:rPr>
        <w:t xml:space="preserve"># 2nd case (with n)</w:t>
      </w:r>
      <w:r>
        <w:br/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-Gn</w:t>
      </w:r>
      <w:r>
        <w:rPr>
          <w:rStyle w:val="NormalTok"/>
        </w:rPr>
        <w:t xml:space="preserve"> guest</w:t>
      </w:r>
      <w:r>
        <w:br/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-Gn</w:t>
      </w:r>
      <w:r>
        <w:rPr>
          <w:rStyle w:val="NormalTok"/>
        </w:rPr>
        <w:t xml:space="preserve"> guest2</w:t>
      </w:r>
      <w:r>
        <w:br/>
      </w:r>
      <w:r>
        <w:rPr>
          <w:rStyle w:val="CommentTok"/>
        </w:rPr>
        <w:t xml:space="preserve"># 2nd case (without n)</w:t>
      </w:r>
      <w:r>
        <w:br/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guest</w:t>
      </w:r>
      <w:r>
        <w:br/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guest2</w:t>
      </w:r>
    </w:p>
    <w:bookmarkStart w:id="36" w:name="fig:004"/>
    <w:p>
      <w:pPr>
        <w:pStyle w:val="CaptionedFigure"/>
      </w:pPr>
      <w:r>
        <w:drawing>
          <wp:inline>
            <wp:extent cx="3733800" cy="1615114"/>
            <wp:effectExtent b="0" l="0" r="0" t="0"/>
            <wp:docPr descr="Группы пользователя guest и guest2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5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Группы пользователя guest и guest2</w:t>
      </w:r>
    </w:p>
    <w:bookmarkEnd w:id="36"/>
    <w:p>
      <w:pPr>
        <w:pStyle w:val="Compact"/>
        <w:numPr>
          <w:ilvl w:val="0"/>
          <w:numId w:val="1001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 </w:t>
      </w:r>
      <w:r>
        <w:t xml:space="preserve">с указанием имени пользователя выводит перечисление всех групп, в которых состоит пользователь. Также указывается имя пользователя перед списком групп;</w:t>
      </w:r>
    </w:p>
    <w:p>
      <w:pPr>
        <w:pStyle w:val="Compact"/>
        <w:numPr>
          <w:ilvl w:val="0"/>
          <w:numId w:val="1001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id -G</w:t>
      </w:r>
      <w:r>
        <w:t xml:space="preserve"> </w:t>
      </w:r>
      <w:r>
        <w:t xml:space="preserve">(с опцией n) выводит все группы в которых состоит пользователь, но без его имени;</w:t>
      </w:r>
    </w:p>
    <w:p>
      <w:pPr>
        <w:pStyle w:val="Compact"/>
        <w:numPr>
          <w:ilvl w:val="0"/>
          <w:numId w:val="1001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id -G</w:t>
      </w:r>
      <w:r>
        <w:t xml:space="preserve"> </w:t>
      </w:r>
      <w:r>
        <w:t xml:space="preserve">(без n) выводит gid всех групп, в которых состоит пользователь.</w:t>
      </w:r>
    </w:p>
    <w:p>
      <w:pPr>
        <w:pStyle w:val="FirstParagraph"/>
      </w:pPr>
      <w:r>
        <w:t xml:space="preserve">Сравним информацию с</w:t>
      </w:r>
      <w:r>
        <w:t xml:space="preserve"> </w:t>
      </w:r>
      <w:r>
        <w:rPr>
          <w:rStyle w:val="VerbatimChar"/>
        </w:rPr>
        <w:t xml:space="preserve">/etc/group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/etc/group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</w:t>
      </w:r>
    </w:p>
    <w:bookmarkStart w:id="40" w:name="fig:005"/>
    <w:p>
      <w:pPr>
        <w:pStyle w:val="CaptionedFigure"/>
      </w:pPr>
      <w:r>
        <w:drawing>
          <wp:inline>
            <wp:extent cx="3733800" cy="778905"/>
            <wp:effectExtent b="0" l="0" r="0" t="0"/>
            <wp:docPr descr="Проверка данных о guest-пользователях в /etc/group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8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данных о guest-пользователях в</w:t>
      </w:r>
      <w:r>
        <w:t xml:space="preserve"> </w:t>
      </w:r>
      <w:r>
        <w:rPr>
          <w:rStyle w:val="VerbatimChar"/>
        </w:rPr>
        <w:t xml:space="preserve">/etc/group</w:t>
      </w:r>
    </w:p>
    <w:bookmarkEnd w:id="40"/>
    <w:p>
      <w:pPr>
        <w:pStyle w:val="BodyText"/>
      </w:pPr>
      <w:r>
        <w:t xml:space="preserve">Номера</w:t>
      </w:r>
      <w:r>
        <w:t xml:space="preserve"> </w:t>
      </w:r>
      <w:r>
        <w:rPr>
          <w:rStyle w:val="VerbatimChar"/>
        </w:rPr>
        <w:t xml:space="preserve">GID=1001</w:t>
      </w:r>
      <w:r>
        <w:t xml:space="preserve">,</w:t>
      </w:r>
      <w:r>
        <w:t xml:space="preserve"> </w:t>
      </w:r>
      <w:r>
        <w:rPr>
          <w:rStyle w:val="VerbatimChar"/>
        </w:rPr>
        <w:t xml:space="preserve">GID=1002</w:t>
      </w:r>
      <w:r>
        <w:t xml:space="preserve">, соответствует группам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guest2</w:t>
      </w:r>
      <w:r>
        <w:t xml:space="preserve">. В качестве пользователей групп указаны только те, кто не является основным. То есть в группе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отсутствует пользователь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, а в группе</w:t>
      </w:r>
      <w:r>
        <w:t xml:space="preserve"> </w:t>
      </w:r>
      <w:r>
        <w:rPr>
          <w:rStyle w:val="VerbatimChar"/>
        </w:rPr>
        <w:t xml:space="preserve">guest2</w:t>
      </w:r>
      <w:r>
        <w:t xml:space="preserve"> </w:t>
      </w:r>
      <w:r>
        <w:t xml:space="preserve">отсутствует пользователь</w:t>
      </w:r>
      <w:r>
        <w:t xml:space="preserve"> </w:t>
      </w:r>
      <w:r>
        <w:rPr>
          <w:rStyle w:val="VerbatimChar"/>
        </w:rPr>
        <w:t xml:space="preserve">guest2</w:t>
      </w:r>
      <w:r>
        <w:t xml:space="preserve"> </w:t>
      </w:r>
      <w:r>
        <w:t xml:space="preserve">(но находится в группе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).</w:t>
      </w:r>
    </w:p>
    <w:p>
      <w:pPr>
        <w:pStyle w:val="BodyText"/>
      </w:pPr>
      <w:r>
        <w:t xml:space="preserve">От имени пользователя</w:t>
      </w:r>
      <w:r>
        <w:t xml:space="preserve"> </w:t>
      </w:r>
      <w:r>
        <w:rPr>
          <w:rStyle w:val="VerbatimChar"/>
        </w:rPr>
        <w:t xml:space="preserve">guest2</w:t>
      </w:r>
      <w:r>
        <w:t xml:space="preserve"> </w:t>
      </w:r>
      <w:r>
        <w:t xml:space="preserve">выполним регистрацию в группе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newgrp</w:t>
      </w:r>
      <w:r>
        <w:rPr>
          <w:rStyle w:val="NormalTok"/>
        </w:rPr>
        <w:t xml:space="preserve"> guest</w:t>
      </w:r>
    </w:p>
    <w:bookmarkEnd w:id="41"/>
    <w:bookmarkStart w:id="63" w:name="права-директории"/>
    <w:p>
      <w:pPr>
        <w:pStyle w:val="Heading2"/>
      </w:pPr>
      <w:r>
        <w:t xml:space="preserve">2.2 Права директории</w:t>
      </w:r>
    </w:p>
    <w:p>
      <w:pPr>
        <w:pStyle w:val="FirstParagraph"/>
      </w:pPr>
      <w:r>
        <w:t xml:space="preserve">От имени пользователя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изменим права директории</w:t>
      </w:r>
      <w:r>
        <w:t xml:space="preserve"> </w:t>
      </w:r>
      <w:r>
        <w:rPr>
          <w:rStyle w:val="VerbatimChar"/>
        </w:rPr>
        <w:t xml:space="preserve">/home/guest</w:t>
      </w:r>
      <w:r>
        <w:t xml:space="preserve"> </w:t>
      </w:r>
      <w:r>
        <w:t xml:space="preserve">и снимем все атрибуты с директории</w:t>
      </w:r>
      <w:r>
        <w:t xml:space="preserve"> </w:t>
      </w:r>
      <w:r>
        <w:rPr>
          <w:rStyle w:val="VerbatimChar"/>
        </w:rPr>
        <w:t xml:space="preserve">/home/guest/dir1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g+rwx /home/guest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000 dir1</w:t>
      </w:r>
    </w:p>
    <w:bookmarkStart w:id="45" w:name="fig:006"/>
    <w:p>
      <w:pPr>
        <w:pStyle w:val="CaptionedFigure"/>
      </w:pPr>
      <w:r>
        <w:drawing>
          <wp:inline>
            <wp:extent cx="3733800" cy="816573"/>
            <wp:effectExtent b="0" l="0" r="0" t="0"/>
            <wp:docPr descr="Изменение прав директорий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6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директорий</w:t>
      </w:r>
    </w:p>
    <w:bookmarkEnd w:id="45"/>
    <w:p>
      <w:pPr>
        <w:pStyle w:val="BodyText"/>
      </w:pPr>
      <w:r>
        <w:t xml:space="preserve">Заполним таблицы, заданные в лабораторной работе</w:t>
      </w:r>
      <w:r>
        <w:t xml:space="preserve"> </w:t>
      </w:r>
      <w:r>
        <w:t xml:space="preserve">[1]</w:t>
      </w:r>
      <w:r>
        <w:t xml:space="preserve">. Проверим каждый из пунктов и отразим результаты в</w:t>
      </w:r>
      <w:r>
        <w:t xml:space="preserve"> </w:t>
      </w:r>
      <w:hyperlink w:anchor="tbl-rules-000-1">
        <w:r>
          <w:rPr>
            <w:rStyle w:val="Hyperlink"/>
          </w:rPr>
          <w:t xml:space="preserve">табл. 1</w:t>
        </w:r>
      </w:hyperlink>
      <w:r>
        <w:t xml:space="preserve">-</w:t>
      </w:r>
      <w:hyperlink w:anchor="tbl-rules1-070-2">
        <w:r>
          <w:rPr>
            <w:rStyle w:val="Hyperlink"/>
          </w:rPr>
          <w:t xml:space="preserve">табл. 16</w:t>
        </w:r>
      </w:hyperlink>
      <w:r>
        <w:t xml:space="preserve">,</w:t>
      </w:r>
      <w:r>
        <w:t xml:space="preserve"> </w:t>
      </w:r>
      <w:hyperlink w:anchor="tbl-rules2">
        <w:r>
          <w:rPr>
            <w:rStyle w:val="Hyperlink"/>
          </w:rPr>
          <w:t xml:space="preserve">табл. 17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rules-000-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Установленные права и разрешённые действия; Права файла (000) (1)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485"/>
              <w:gridCol w:w="1402"/>
              <w:gridCol w:w="1320"/>
              <w:gridCol w:w="1320"/>
              <w:gridCol w:w="1237"/>
              <w:gridCol w:w="115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Права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Права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Удаление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Запись в файл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Чтение файла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(050)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(060)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</w:tbl>
          <w:bookmarkEnd w:id="46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rules1-000-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Установленные права и разрешённые действия; Права файла (000) (2)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22"/>
              <w:gridCol w:w="1060"/>
              <w:gridCol w:w="1122"/>
              <w:gridCol w:w="1870"/>
              <w:gridCol w:w="1309"/>
              <w:gridCol w:w="143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Права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Права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Смена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Просмотр файлов в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Переименование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Смена атрибутов файла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(050)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(060)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</w:tbl>
          <w:bookmarkEnd w:id="47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rules-010-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3: Установленные права и разрешённые действия; Права файла (010) (1)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485"/>
              <w:gridCol w:w="1402"/>
              <w:gridCol w:w="1320"/>
              <w:gridCol w:w="1320"/>
              <w:gridCol w:w="1237"/>
              <w:gridCol w:w="115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Права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Права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Удаление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Запись в файл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Чтение файла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(050)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(060)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</w:tbl>
          <w:bookmarkEnd w:id="48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tbl-rules1-010-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4: Установленные права и разрешённые действия; Права файла (010) (2)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22"/>
              <w:gridCol w:w="1060"/>
              <w:gridCol w:w="1122"/>
              <w:gridCol w:w="1870"/>
              <w:gridCol w:w="1309"/>
              <w:gridCol w:w="143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Права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Права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Смена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Просмотр файлов в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Переименование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Смена атрибутов файла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(050)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(060)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</w:tbl>
          <w:bookmarkEnd w:id="49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rules-020-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5: Установленные права и разрешённые действия; Права файла (020) (1)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485"/>
              <w:gridCol w:w="1402"/>
              <w:gridCol w:w="1320"/>
              <w:gridCol w:w="1320"/>
              <w:gridCol w:w="1237"/>
              <w:gridCol w:w="115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Права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Права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Удаление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Запись в файл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Чтение файла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(050)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(060)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</w:tbl>
          <w:bookmarkEnd w:id="50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rules1-020-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6: Установленные права и разрешённые действия; Права файла (020) (2)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22"/>
              <w:gridCol w:w="1060"/>
              <w:gridCol w:w="1122"/>
              <w:gridCol w:w="1870"/>
              <w:gridCol w:w="1309"/>
              <w:gridCol w:w="143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Права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Права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Смена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Просмотр файлов в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Переименование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Смена атрибутов файла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(050)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(060)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</w:tbl>
          <w:bookmarkEnd w:id="51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rules-030-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7: Установленные права и разрешённые действия; Права файла (030) (1)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485"/>
              <w:gridCol w:w="1402"/>
              <w:gridCol w:w="1320"/>
              <w:gridCol w:w="1320"/>
              <w:gridCol w:w="1237"/>
              <w:gridCol w:w="115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Права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Права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Удаление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Запись в файл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Чтение файла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(050)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(060)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</w:tbl>
          <w:bookmarkEnd w:id="52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rules1-030-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8: Установленные права и разрешённые действия; Права файла (030) (2)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22"/>
              <w:gridCol w:w="1060"/>
              <w:gridCol w:w="1122"/>
              <w:gridCol w:w="1870"/>
              <w:gridCol w:w="1309"/>
              <w:gridCol w:w="143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Права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Права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Смена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Просмотр файлов в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Переименование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Смена атрибутов файла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(050)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(060)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</w:tbl>
          <w:bookmarkEnd w:id="53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rules-040-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9: Установленные права и разрешённые действия; Права файла (040) (1)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485"/>
              <w:gridCol w:w="1402"/>
              <w:gridCol w:w="1320"/>
              <w:gridCol w:w="1320"/>
              <w:gridCol w:w="1237"/>
              <w:gridCol w:w="115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Права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Права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Удаление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Запись в файл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Чтение файла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(050)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(060)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</w:tr>
          </w:tbl>
          <w:bookmarkEnd w:id="5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rules1-040-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10: Установленные права и разрешённые действия; Права файла (040) (2)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22"/>
              <w:gridCol w:w="1060"/>
              <w:gridCol w:w="1122"/>
              <w:gridCol w:w="1870"/>
              <w:gridCol w:w="1309"/>
              <w:gridCol w:w="143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Права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Права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Смена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Просмотр файлов в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Переименование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Смена атрибутов файла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(050)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(060)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</w:tbl>
          <w:bookmarkEnd w:id="55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tbl-rules-050-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11: Установленные права и разрешённые действия; Права файла (050) (1)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485"/>
              <w:gridCol w:w="1402"/>
              <w:gridCol w:w="1320"/>
              <w:gridCol w:w="1320"/>
              <w:gridCol w:w="1237"/>
              <w:gridCol w:w="115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Права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Права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Удаление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Запись в файл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Чтение файла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(050)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(050)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(050)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(050)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(050)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(050)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(050)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(060)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(050)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(050)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</w:tr>
          </w:tbl>
          <w:bookmarkEnd w:id="56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tbl-rules1-050-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12: Установленные права и разрешённые действия; Права файла (050) (2)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22"/>
              <w:gridCol w:w="1060"/>
              <w:gridCol w:w="1122"/>
              <w:gridCol w:w="1870"/>
              <w:gridCol w:w="1309"/>
              <w:gridCol w:w="143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Права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Права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Смена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Просмотр файлов в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Переименование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Смена атрибутов файла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(050)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(050)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(050)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(050)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(050)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(050)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(050)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(060)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(050)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(050)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</w:tbl>
          <w:bookmarkEnd w:id="57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rules-060-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13: Установленные права и разрешённые действия; Права файла (060) (1)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485"/>
              <w:gridCol w:w="1402"/>
              <w:gridCol w:w="1320"/>
              <w:gridCol w:w="1320"/>
              <w:gridCol w:w="1237"/>
              <w:gridCol w:w="115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Права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Права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Удаление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Запись в файл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Чтение файла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(060)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(060)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(060)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(060)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(060)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(050)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(060)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(060)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(060)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(060)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tbl-rules1-060-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14: Установленные права и разрешённые действия; Права файла (060) (2)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22"/>
              <w:gridCol w:w="1060"/>
              <w:gridCol w:w="1122"/>
              <w:gridCol w:w="1870"/>
              <w:gridCol w:w="1309"/>
              <w:gridCol w:w="143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Права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Права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Смена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Просмотр файлов в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Переименование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Смена атрибутов файла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(060)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(060)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(060)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(060)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(060)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(050)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(060)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(060)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(060)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(060)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</w:tbl>
          <w:bookmarkEnd w:id="59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tbl-rules-070-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15: Установленные права и разрешённые действия; Права файла (070) (1)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485"/>
              <w:gridCol w:w="1402"/>
              <w:gridCol w:w="1320"/>
              <w:gridCol w:w="1320"/>
              <w:gridCol w:w="1237"/>
              <w:gridCol w:w="115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Права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Права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Удаление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Запись в файл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Чтение файла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(050)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(060)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</w:tr>
          </w:tbl>
          <w:bookmarkEnd w:id="60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tbl-rules1-070-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16: Установленные права и разрешённые действия; Права файла (070) (2)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22"/>
              <w:gridCol w:w="1060"/>
              <w:gridCol w:w="1122"/>
              <w:gridCol w:w="1870"/>
              <w:gridCol w:w="1309"/>
              <w:gridCol w:w="143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Права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Права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Смена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Просмотр файлов в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Переименование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Смена атрибутов файла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(050)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(060)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</w:tbl>
          <w:bookmarkEnd w:id="61"/>
          <w:p/>
        </w:tc>
      </w:tr>
    </w:tbl>
    <w:p>
      <w:pPr>
        <w:pStyle w:val="BodyText"/>
      </w:pPr>
      <w:r>
        <w:t xml:space="preserve">Таблицы</w:t>
      </w:r>
      <w:r>
        <w:t xml:space="preserve"> </w:t>
      </w:r>
      <w:hyperlink w:anchor="tbl-rules-000-1">
        <w:r>
          <w:rPr>
            <w:rStyle w:val="Hyperlink"/>
          </w:rPr>
          <w:t xml:space="preserve">табл. 1</w:t>
        </w:r>
      </w:hyperlink>
      <w:r>
        <w:t xml:space="preserve">-</w:t>
      </w:r>
      <w:hyperlink w:anchor="tbl-rules1-070-2">
        <w:r>
          <w:rPr>
            <w:rStyle w:val="Hyperlink"/>
          </w:rPr>
          <w:t xml:space="preserve">табл. 16</w:t>
        </w:r>
      </w:hyperlink>
      <w:r>
        <w:t xml:space="preserve"> </w:t>
      </w:r>
      <w:r>
        <w:t xml:space="preserve">схожи с теми, что получены в лабораторной работе №2. Они имеют одно различие:</w:t>
      </w:r>
    </w:p>
    <w:p>
      <w:pPr>
        <w:pStyle w:val="Compact"/>
        <w:numPr>
          <w:ilvl w:val="0"/>
          <w:numId w:val="1002"/>
        </w:numPr>
      </w:pPr>
      <w:r>
        <w:t xml:space="preserve">Смена атрибутов файла невозможна для пользователя</w:t>
      </w:r>
      <w:r>
        <w:t xml:space="preserve"> </w:t>
      </w:r>
      <w:r>
        <w:rPr>
          <w:rStyle w:val="VerbatimChar"/>
        </w:rPr>
        <w:t xml:space="preserve">guest2</w:t>
      </w:r>
      <w:r>
        <w:t xml:space="preserve">, так как он не является владельцем файла.</w:t>
      </w:r>
    </w:p>
    <w:p>
      <w:pPr>
        <w:pStyle w:val="FirstParagraph"/>
      </w:pPr>
      <w:r>
        <w:t xml:space="preserve">Составим таблицу минимальных прав для совершения операций.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tbl-rules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17: Минимальные права для совершения операций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262"/>
              <w:gridCol w:w="3111"/>
              <w:gridCol w:w="254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Операция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Минимальные права на директорию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Минимальные права на файл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d----wx--- (030)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--------- (000)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Удаление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d----wx--- (030)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--------- (000)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Чтение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d-----x--- 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---r----- (040)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Запись в файл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d-----x--- 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----w---- (020)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Переименование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d----wx--- (030)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--------- (000)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Создание поддиректории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d----wx--- (030)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--------- (000)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Удаление поддиректории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d----wx--- (030)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--------- (000)</w:t>
                  </w:r>
                </w:p>
              </w:tc>
            </w:tr>
          </w:tbl>
          <w:bookmarkEnd w:id="62"/>
          <w:p/>
        </w:tc>
      </w:tr>
    </w:tbl>
    <w:bookmarkEnd w:id="63"/>
    <w:bookmarkEnd w:id="64"/>
    <w:bookmarkStart w:id="65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результате выполнения лабораторной работы я получил практические навыки работы в консоли с атрибутами (правами) файлов и каталогов для групп пользователей, закрепил теоретические основы дискреционного разграничения доступа и правила распределения прав групп для файлов и каталогов.</w:t>
      </w:r>
    </w:p>
    <w:bookmarkEnd w:id="65"/>
    <w:bookmarkStart w:id="69" w:name="список-литературы"/>
    <w:p>
      <w:pPr>
        <w:pStyle w:val="Heading1"/>
      </w:pPr>
      <w:r>
        <w:t xml:space="preserve">Список литературы</w:t>
      </w:r>
    </w:p>
    <w:bookmarkStart w:id="68" w:name="refs"/>
    <w:bookmarkStart w:id="67" w:name="ref-tui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Кулябов Д. С., Королькова А. В., Геворкян М. Н. Основы информационной безопасности (09.03.03): Лабораторная работа №3 [Электронный ресурс]. URL:</w:t>
      </w:r>
      <w:r>
        <w:t xml:space="preserve"> </w:t>
      </w:r>
      <w:hyperlink r:id="rId66">
        <w:r>
          <w:rPr>
            <w:rStyle w:val="Hyperlink"/>
          </w:rPr>
          <w:t xml:space="preserve">https://esystem.rudn.ru/pluginfile.php/3096806/mod_resource/content/4/003-lab_discret_2users.pdf</w:t>
        </w:r>
      </w:hyperlink>
      <w:r>
        <w:t xml:space="preserve"> </w:t>
      </w:r>
      <w:r>
        <w:t xml:space="preserve">(дата обращения: 21.03.2026).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hyperlink" Id="rId66" Target="https://esystem.rudn.ru/pluginfile.php/3096806/mod_resource/content/4/003-lab_discret_2users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system.rudn.ru/pluginfile.php/3096806/mod_resource/content/4/003-lab_discret_2users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Сергеев Даниил Олегович</dc:creator>
  <dc:language>ru-RU</dc:language>
  <cp:keywords/>
  <dcterms:created xsi:type="dcterms:W3CDTF">2026-03-21T14:55:39Z</dcterms:created>
  <dcterms:modified xsi:type="dcterms:W3CDTF">2026-03-21T14:55:39Z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Дискреционное разграничение прав в Linux. Два пользователя</vt:lpwstr>
  </property>
  <property fmtid="{D5CDD505-2E9C-101B-9397-08002B2CF9AE}" pid="16" name="toc-title">
    <vt:lpwstr>Содержание</vt:lpwstr>
  </property>
</Properties>
</file>