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janela, local, valor e número de posições.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dirigido da vaga aos profissionais elegíveis por função, raio, disponibilidade e histórico, ordenado por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o despacho de uma vaga específica.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Proporção entre turnos aceitos e turnos efetivamente cumpridos pelo profissional.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herdado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Atestado registrado por alguém que já trabalhou com o profissional fora da plataforma.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aprovado leva a posição; no segundo, o contratante escolhe entre os candidatos.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Intervalo antes do início do turno em que uma posição ainda vaga passa a exigir intervenção da operação.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v1.0.0,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Contratantes de food service (bares, restaurantes, cafeterias e similares), contratantes de evento (buffets, produtoras e empresas de staff), coordenações de campanha política, e profissionais operacionais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Aplicativo iOS nativo (requisito fechado do projeto), aplicativo Android e versão web. Todos os perfis de usuário são atendidos nas duas vias, com proposta de valor distinta por perfil. O Painel de Operação é exclusivamente web e interno. A decisão entre nativo nas duas plataformas ou base compartilhada ainda não foi tomada; o backend pode ser externo.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freelance remoto e digital, limpeza residencial convencional, operação fora do DF antes da consolidação local e qualquer cobrança dentro do aplicativo enquanto o modelo de monetização não estiver definido.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cobrar nada do profissional, em nenhuma modalidade: sem taxa de cadastro, sem assinatura, sem moeda e sem desbloqueio de contato.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local e valor por posição definidos.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 é o que torna possível preencher um turno em minutos.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isto é, fora do raio, sem a função ou indisponível na janela.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ordem de despacho DEVE ser determinada por taxa de comparecimento e histórico, e NÃO DEVE poder ser comprada, patrocinada ou promovida.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único incentivo do sistema é comparecer, e ele não custa dinheiro. Qualquer venda de prioridade reintroduz o leilão de trabalho que o projeto rejeita.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liberada somente após o fim previsto do turno, e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início e fim efetivos do turno e o valor acordado,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é o que permite resolver divergência e é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e motivo, e DEVE reabrir a posição com novo despacho imediato.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O registro do motivo é o que separa desistência de imprevisto na apuração.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prazo de resposta.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o primeiro despacho;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Para vaga de campanha política, o sistema DEVE permitir exportar o registro de quem trabalhou, quando e por qual valor.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Campanha presta contas, e despesa de pessoal é declarável. A Portaria TSE nº 444/2026 fixa teto de contratação, no DF a partir de 300 pessoas por chapa, e estourá-lo pode configurar corrupção eleitoral.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despacho em menos de 3 minutos, sem envio de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raio de atuação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raio e disponibilidade passam a valer no despacho seguinte, sem exigir novo login.</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função, data, horário de início e fim, local, valor por posição e número de posições.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fluxo completo de publicação é concluído em menos de 60 segundos no celular, e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de uma vaga recorrente é concluída em menos de 20 segundos.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 vaga aos profissionais elegíveis, ordenados por taxa de comparecimento, notificando em levas sucessivas enquanto houver posição aberta.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é notificada em até 30 segundos após a publicação; nenhum profissional inelegível recebe a notificação; a leva seguinte é disparada se a posição continuar aberta ao fim do intervalo configurado.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busque vagas abertas na região,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as vagas abertas dentro do raio declarado, ordenadas por proximidade e por horário de início.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posição em um único toque a partir da notificação ou da lista.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é concluída em no máximo 3 toques contados desde a notificação, sem formulário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aprovado ocupa a posição, e seleção, em que o contratante escolhe entre os candidatos.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em urgência, a posição é ocupada automaticamente pelo primeiro candidato elegível; em seleção, a posição permanece aberta até a escolha do contratante.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Ambos recebem a confirmação em até 60 segundos;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canal de contato direto entre as partes (WhatsApp ou e-mail) somente após a confirmação.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e fica disponível para ambos imediatamente depois dela.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em intervalo configurável.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lembrete é entregue no intervalo definido e traz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registrar o início e o fim efetivos do turno pelas duas partes.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registro grava data, hora e autor; divergência entre os dois registros é sinalizada e enviada ao Painel de Operação.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novo despacho imediato.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e motivo; a posição volta a aparecer como aberta e a primeira leva de despacho é disparada em até 30 segundos.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cada lado responde “sim” ou “não” a uma única pergunta; nenhuma nota de 1 a 5 é oferecida.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contratante registre aval externo para um profissional com quem já trabalhou fora da plataforma.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aval é atribuído a um contratante identificado, aparece separado do histórico interno e nunca é somado à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e a priorize no despacho das próximas vagas.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recebem o despacho na primeira leva, antes da ordenação geral por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apresentar, no Painel de Operação, os turnos com posição aberta dentro da janela crítica, com tempo restante e contato das partes.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que entra na janela crítica aparece no painel; o operador registra a intervenção realizada e o resultado.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acionável durante 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acionamento abre um chamado vinculado ao turno, visível no Painel de Operação, com tempo de resposta declarado ao usuário.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a contestação gera um chamado com prazo de resposta definido (RN13).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solicite a exclusão da conta.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solicitação é registrada e atendida em até 15 dias; os dados de turnos já realizados são anonimizados em vez de apagados, preservando o histórico da contraparte.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ferramenta de atendimento, se contratada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RF17, RF18, RF21, RF22, RF25</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 RF23</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RF24</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leva de construção.</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 e o fluxo completo de publicação de vaga deve ser concluído em menos de 60 segundos.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de forma verificável, com reentrega automática em caso de falha e estado consultável pelo suporte.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entregues em até 60 segundos após o despacho, medido em janela móvel de 7 dias; toda falha registra motivo.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de despacho deve ser notificada em até 30 segundos após a publicação da vaga.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16 ou superior,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em até 3 toques a partir da notificação, sem ajuda, em pelo menos 8 de 10 tentativas.</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na janela em que o problema acontece.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entre quinta e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ordenação do despacho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APNs e FCM sem custo no volume previsto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Infraestrutura mensal, a definir com a stack</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Freelance remoto e digital (design, programação, redação)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Categoria diferente, sem componente presencial, já atendida por marketplaces globais. Confiança não transfere entre setores e a diluição mata a densidade.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Limpeza residencial convencional e serviços domésticos recorrentes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Já possuem canais próprios consolidados e uma dinâmica de recorrência diferente da do turno avulso.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jc w:val="center"/>
              <w:spacing w:before="0" w:after="40" w:line="264" w:lineRule="auto"/>
            </w:pPr>
            <w:r>
              <w:rPr>
                <w:rFonts w:ascii="SF Pro Display" w:hAnsi="SF Pro Display" w:cs="SF Pro Display"/>
                <w:b/>
                <w:color w:val="8C8C8C"/>
                <w:sz w:val="22"/>
                <w:szCs w:val="22"/>
              </w:rPr>
              <w:t xml:space="preserve">Diagrama de Casos de Uso</w:t>
            </w:r>
          </w:p>
          <w:p>
            <w:pPr>
              <w:jc w:val="center"/>
              <w:spacing w:before="0" w:after="0" w:line="264" w:lineRule="auto"/>
            </w:pPr>
            <w:r>
              <w:rPr>
                <w:rFonts w:ascii="SF Pro Display" w:hAnsi="SF Pro Display" w:cs="SF Pro Display"/>
                <w:i/>
                <w:color w:val="8C8C8C"/>
                <w:sz w:val="18"/>
                <w:szCs w:val="18"/>
              </w:rPr>
              <w:t xml:space="preserve">Inserir o diagrama aqui. Atores previstos: Profissional, Contratante, Operador do Painel e Sistema (despacho automático). Casos de uso UC01 a UC08, descritos abaixo.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(food service, evento ou campanha)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função, data, horário de início e fim, local, valor por posição, número de posições e modo de preenchimento.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local é pré-preenchido com o endereço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aciona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Algum campo obrigatório está ausente ou inválido: o sistema indica o campo e impede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função, data, horário, local, valor e número de posições e confirmo, então a vaga é publicada em menos de 60 segundos e a primeira leva de despacho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Sistema (automático), disparado pela publicação ou pela reabertura de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função compatível, local dentro do raio declarado, disponibilidade na janela e histórico aceitável.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ordena os elegíveis por prioridade: equipe de confiança do estabelecimento primeiro, depois por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monta a primeira leva e envia 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o envio e o estado de entrega de cada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Esgotado o intervalo da leva com a posição ainda aberta, o sistema dispara a leva seguinte e repete até preencher a posição, esgotar os elegíveis ou atingir o horário de início.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o sistema registra a ausência de oferta e marca a vaga para 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 entrega da notificação falha: o sistema reagenda a entrega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Os elegíveis se esgotam antes do preenchimento: o sistema amplia o raio dentro do limite configurado e, persistindo, aciona UC07.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na ordem de prioridade definida, e nenhum profissional inelegível recebe a notificação.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o despacho ou encontrou a vaga na busca.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com um toque.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aciona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na mesma janela: o sistema alerta sobre o conflito e pede confirmação explícita antes de prosseguir.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em no máximo 3 toques contados desde a notificação,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ou Sistema no modo urgência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canal de contato direto entre as partes.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contratante não escolhe até a janela crítica: a posição entra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candidaturas chegam simultaneamente: o sistema confirma exatamente uma e devolve retorno claro à outra.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em até 60 segundos,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já chegou.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registra o início ao chegar.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confirma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término, qualquer das partes registra o fim e a outra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registra o início dentro da tolerância: o sistema alerta o contratante e sinaliza a posição no Painel de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Os registros das partes divergem: o sistema mantém os dois, sinaliza a divergência e a encaminha à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não comparece: o contratante registra a ausência, o que afeta a taxa de comparecimento, e a posição pode ser reaberta (UC08).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e valor, e avaliação liberada após o término previsto.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RN09,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foi executado, quando as duas partes registram início e fim, então o sistema grava os horários e o valor acordado e disponibiliza o registro para consulta e exportação por ambos.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As reputações atualizadas passam a valer no próximo despacho.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nenhuma avaliação é solicitada, e o cancelamento é registrado separadamente.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Intervir em turno em risco pelo Painel de Operação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posição aberta dentro da janela crítica, ou uma vaga sinalizada por ausência de elegíveis, divergência de registro ou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lista no painel as posições em risco, com tempo restante, histórico de despacho e contato das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operador escolhe uma posição e analisa o que já foi tentado.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operador aciona profissionais manualmente ou contata o contratante para ajustar valor, horário ou função.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operador registra a intervenção e o resultado.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Preenchida a posição, ela sai da lista de risco.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Não há como preencher: o operador registra o turno como não preenchido, com o motivo, e comunica o contratante. O caso alimenta a revisão de raio, valor e antecedência.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caso é uma divergência de registro ou uma disputa entre as partes: o operador apura, registra a decisão e, se aplicável, aciona UC08 ou a suspensão prevista em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Intervenção registrada e posição preenchida ou encerrada com motivo.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entra na janela crítica sem estar preenchida, quando abro o Painel de Operação, então ela aparece na lista de risco com tempo restante e contatos, e toda ação que eu registrar fica vinculada ao turno.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Contratante ou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aciona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distinguindo cancelamento com antecedência de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o caso vai para o Painel de Operação como turno não 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padrão de cancelamentos de uma parte ultrapassa o limite definido: o sistema sinaliza para apuração humana, nunca para bloqueio automático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 novo despacho é disparado em até 30 segundos.</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e candidatura penduram-se nela como o registro de quem foi chamado e quem respondeu. As duas vistas abaixo são do mesmo esquema: separá-las evita o emaranhado de linhas que um único desenho com dezesseis entidades produz.</w:t>
      </w:r>
    </w:p>
    <w:p>
      <w:pPr>
        <w:jc w:val="center"/>
        <w:spacing w:before="0" w:after="40" w:line="264" w:lineRule="auto"/>
      </w:pPr>
      <w:r>
        <w:drawing>
          <wp:inline distT="0" distB="0" distL="0" distR="0">
            <wp:extent cx="5943600" cy="2588341"/>
            <wp:docPr id="1" name="Imagem 1" descr="Figura 1 — O ciclo de uma vaga: da publicação à avaliação"/>
            <a:graphic>
              <a:graphicData uri="http://schemas.openxmlformats.org/drawingml/2006/picture">
                <pic:pic>
                  <pic:nvPicPr>
                    <pic:cNvPr id="1" name="imagem1.png"/>
                    <pic:cNvPicPr/>
                  </pic:nvPicPr>
                  <pic:blipFill>
                    <a:blip r:embed="rIdImg1"/>
                    <a:stretch>
                      <a:fillRect/>
                    </a:stretch>
                  </pic:blipFill>
                  <pic:spPr>
                    <a:xfrm>
                      <a:off x="0" y="0"/>
                      <a:ext cx="5943600" cy="25883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O ciclo de uma vaga: da publicação à avaliação</w:t>
      </w:r>
    </w:p>
    <w:p>
      <w:pPr>
        <w:jc w:val="center"/>
        <w:spacing w:before="0" w:after="40" w:line="264" w:lineRule="auto"/>
      </w:pPr>
      <w:r>
        <w:drawing>
          <wp:inline distT="0" distB="0" distL="0" distR="0">
            <wp:extent cx="5943600" cy="2400300"/>
            <wp:docPr id="2" name="Imagem 2" descr="Figura 2 — Uma conta de acesso, dois papéis"/>
            <a:graphic>
              <a:graphicData uri="http://schemas.openxmlformats.org/drawingml/2006/picture">
                <pic:pic>
                  <pic:nvPicPr>
                    <pic:cNvPr id="2" name="imagem2.png"/>
                    <pic:cNvPicPr/>
                  </pic:nvPicPr>
                  <pic:blipFill>
                    <a:blip r:embed="rIdImg2"/>
                    <a:stretch>
                      <a:fillRect/>
                    </a:stretch>
                  </pic:blipFill>
                  <pic:spPr>
                    <a:xfrm>
                      <a:off x="0" y="0"/>
                      <a:ext cx="5943600" cy="24003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Uma conta de acesso, dois papéis</w:t>
      </w:r>
    </w:p>
    <w:p>
      <w:pPr>
        <w:jc w:val="center"/>
        <w:spacing w:before="0" w:after="40" w:line="264" w:lineRule="auto"/>
      </w:pPr>
      <w:r>
        <w:drawing>
          <wp:inline distT="0" distB="0" distL="0" distR="0">
            <wp:extent cx="5943600" cy="2701636"/>
            <wp:docPr id="3" name="Imagem 3" descr="Figura 3 — O que decide quem recebe o despacho"/>
            <a:graphic>
              <a:graphicData uri="http://schemas.openxmlformats.org/drawingml/2006/picture">
                <pic:pic>
                  <pic:nvPicPr>
                    <pic:cNvPr id="3" name="imagem3.png"/>
                    <pic:cNvPicPr/>
                  </pic:nvPicPr>
                  <pic:blipFill>
                    <a:blip r:embed="rIdImg3"/>
                    <a:stretch>
                      <a:fillRect/>
                    </a:stretch>
                  </pic:blipFill>
                  <pic:spPr>
                    <a:xfrm>
                      <a:off x="0" y="0"/>
                      <a:ext cx="5943600" cy="2701636"/>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O que decide quem recebe o despacho</w:t>
      </w:r>
    </w:p>
    <w:p>
      <w:pPr>
        <w:jc w:val="center"/>
        <w:spacing w:before="0" w:after="40" w:line="264" w:lineRule="auto"/>
      </w:pPr>
      <w:r>
        <w:drawing>
          <wp:inline distT="0" distB="0" distL="0" distR="0">
            <wp:extent cx="5943600" cy="2281917"/>
            <wp:docPr id="4" name="Imagem 4" descr="Figura 4 — Os estados de uma posição e as transições válidas"/>
            <a:graphic>
              <a:graphicData uri="http://schemas.openxmlformats.org/drawingml/2006/picture">
                <pic:pic>
                  <pic:nvPicPr>
                    <pic:cNvPr id="4" name="imagem4.png"/>
                    <pic:cNvPicPr/>
                  </pic:nvPicPr>
                  <pic:blipFill>
                    <a:blip r:embed="rIdImg4"/>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senha_hash, criado_em, estado, maioridade_confirmada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raio_km, ponto_base,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bar, restaurante, buffet, produtora ou campanha.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local, geo_lat, geo_lng, valor_centavos, modo, estado, publicado_em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envio de vaga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leva, enviado_em, estado_entrega, entregue_em, motivo_falha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inicio_registrado_em, fim_registrado_em, registrado_por, valor_acordado_centavos, divergencia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o turno.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AvalExterno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estabelecimento_id, texto, verificado_em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N:1 com 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um estabelecimento prioriza no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intervenção, cancelamento, suspensão ou contestação.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w:t>
      </w:r>
    </w:p>
    <w:p>
      <w:pPr>
        <w:jc w:val="center"/>
        <w:spacing w:before="0" w:after="40" w:line="264" w:lineRule="auto"/>
      </w:pPr>
      <w:r>
        <w:drawing>
          <wp:inline distT="0" distB="0" distL="0" distR="0">
            <wp:extent cx="5943600" cy="2467154"/>
            <wp:docPr id="5" name="Imagem 5" descr="Figura 5 — A regra de dependência entre as camadas"/>
            <a:graphic>
              <a:graphicData uri="http://schemas.openxmlformats.org/drawingml/2006/picture">
                <pic:pic>
                  <pic:nvPicPr>
                    <pic:cNvPr id="5" name="imagem5.png"/>
                    <pic:cNvPicPr/>
                  </pic:nvPicPr>
                  <pic:blipFill>
                    <a:blip r:embed="rIdImg5"/>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A regra de dependência entre as camadas</w:t>
      </w:r>
    </w:p>
    <w:p>
      <w:pPr>
        <w:jc w:val="center"/>
        <w:spacing w:before="0" w:after="40" w:line="264" w:lineRule="auto"/>
      </w:pPr>
      <w:r>
        <w:drawing>
          <wp:inline distT="0" distB="0" distL="0" distR="0">
            <wp:extent cx="5943600" cy="2728209"/>
            <wp:docPr id="6" name="Imagem 6" descr="Figura 6 — Camada de domínio: entidades e serviços"/>
            <a:graphic>
              <a:graphicData uri="http://schemas.openxmlformats.org/drawingml/2006/picture">
                <pic:pic>
                  <pic:nvPicPr>
                    <pic:cNvPr id="6" name="imagem6.png"/>
                    <pic:cNvPicPr/>
                  </pic:nvPicPr>
                  <pic:blipFill>
                    <a:blip r:embed="rIdImg6"/>
                    <a:stretch>
                      <a:fillRect/>
                    </a:stretch>
                  </pic:blipFill>
                  <pic:spPr>
                    <a:xfrm>
                      <a:off x="0" y="0"/>
                      <a:ext cx="5943600" cy="272820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Camada de domínio: entidades e serviços</w:t>
      </w:r>
    </w:p>
    <w:p>
      <w:pPr>
        <w:jc w:val="center"/>
        <w:spacing w:before="0" w:after="40" w:line="264" w:lineRule="auto"/>
      </w:pPr>
      <w:r>
        <w:drawing>
          <wp:inline distT="0" distB="0" distL="0" distR="0">
            <wp:extent cx="5943600" cy="2494189"/>
            <wp:docPr id="7" name="Imagem 7" descr="Figura 7 — Portas e implementações: produção e teste"/>
            <a:graphic>
              <a:graphicData uri="http://schemas.openxmlformats.org/drawingml/2006/picture">
                <pic:pic>
                  <pic:nvPicPr>
                    <pic:cNvPr id="7" name="imagem7.png"/>
                    <pic:cNvPicPr/>
                  </pic:nvPicPr>
                  <pic:blipFill>
                    <a:blip r:embed="rIdImg7"/>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Portas e implementações: produção e teste</w:t>
      </w:r>
    </w:p>
    <w:p>
      <w:pPr>
        <w:jc w:val="center"/>
        <w:spacing w:before="0" w:after="40" w:line="264" w:lineRule="auto"/>
      </w:pPr>
      <w:r>
        <w:drawing>
          <wp:inline distT="0" distB="0" distL="0" distR="0">
            <wp:extent cx="5943600" cy="2281917"/>
            <wp:docPr id="8" name="Imagem 8" descr="Figura 8 — Camada de apresentação"/>
            <a:graphic>
              <a:graphicData uri="http://schemas.openxmlformats.org/drawingml/2006/picture">
                <pic:pic>
                  <pic:nvPicPr>
                    <pic:cNvPr id="8" name="imagem8.png"/>
                    <pic:cNvPicPr/>
                  </pic:nvPicPr>
                  <pic:blipFill>
                    <a:blip r:embed="rIdImg8"/>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modo: ModoPreenchimento,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raioKm: Double, pontoBase: Coordenada, disponibilidades: [Disponibilidade],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priorizar(_: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a execução e os horários efetivos.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inicioRegistrado: Date?, fimRegistrado: Date?,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registrarInicio(por: Ator): Void, registrarFim(por: Ator): Void, temDivergencia():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ordenar e notificar os elegíveis em levas.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tamanhoLeva: Int, intervaloLeva: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ordenar(_: [Profissional]): [Profissional], despacharProximaLeva()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[Despacho]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enviar(_: Despacho)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raio: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abertasProximas(de: Coordenada, raio: Double)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PainelOperacaoViewModel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visão de turnos em risco e as intervenções.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emRisco: [Posicao], filtroJanela: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registrarIntervencao(_: Ocorrencia)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descrita aqui é a proposta de partida do grupo, não uma decisão ratificada. O único requisito técnico fechado no projeto é a existência de um aplicativo iOS nativo; a escolha entre nativo nas duas plataformas ou base compartilhada, e a stack do backend, permanecem em aberto. As camadas e a separação de responsabilidades abaixo valem independentemente dessa escolha. [H]</w:t>
      </w:r>
    </w:p>
    <w:p>
      <w:pPr>
        <w:spacing w:before="0" w:after="100" w:line="264" w:lineRule="auto"/>
      </w:pPr>
      <w:r>
        <w:rPr>
          <w:rFonts w:ascii="SF Pro Display" w:hAnsi="SF Pro Display" w:cs="SF Pro Display"/>
          <w:color w:val="1A1A1A"/>
          <w:sz w:val="22"/>
          <w:szCs w:val="22"/>
        </w:rPr>
        <w:t xml:space="preserve">As camadas previstas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especificações de elegibilidade e serviços de despacho e reputação.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de rede, cache local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geolocalização,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no despacho e na sincronização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 do usuário e cálculo de raio de elegibilidade</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URLSession</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Comunicação com 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 ou Core 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com a escolha ainda em aberto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 / XCTest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 e de integração dos fluxos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Backend (stack a definir)</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Persistência, despacho, autenticação e envio de push. Pode ser serviço externo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9" name="Imagem 9" descr="Figura 9 — Contexto: atores e dependências externas"/>
            <a:graphic>
              <a:graphicData uri="http://schemas.openxmlformats.org/drawingml/2006/picture">
                <pic:pic>
                  <pic:nvPicPr>
                    <pic:cNvPr id="9" name="imagem9.png"/>
                    <pic:cNvPicPr/>
                  </pic:nvPicPr>
                  <pic:blipFill>
                    <a:blip r:embed="rIdImg9"/>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Contexto: atores e dependências externas</w:t>
      </w:r>
    </w:p>
    <w:p>
      <w:pPr>
        <w:jc w:val="center"/>
        <w:spacing w:before="0" w:after="40" w:line="264" w:lineRule="auto"/>
      </w:pPr>
      <w:r>
        <w:drawing>
          <wp:inline distT="0" distB="0" distL="0" distR="0">
            <wp:extent cx="5943600" cy="3223647"/>
            <wp:docPr id="10" name="Imagem 10" descr="Figura 10 — Contêineres: quatro clientes, uma API, o despacho em fila"/>
            <a:graphic>
              <a:graphicData uri="http://schemas.openxmlformats.org/drawingml/2006/picture">
                <pic:pic>
                  <pic:nvPicPr>
                    <pic:cNvPr id="10" name="imagem10.png"/>
                    <pic:cNvPicPr/>
                  </pic:nvPicPr>
                  <pic:blipFill>
                    <a:blip r:embed="rIdImg10"/>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Contêineres: quatro clientes, uma API, o despacho em fila</w:t>
      </w:r>
    </w:p>
    <w:p>
      <w:pPr>
        <w:jc w:val="center"/>
        <w:spacing w:before="0" w:after="40" w:line="264" w:lineRule="auto"/>
      </w:pPr>
      <w:r>
        <w:drawing>
          <wp:inline distT="0" distB="0" distL="0" distR="0">
            <wp:extent cx="5943600" cy="2921430"/>
            <wp:docPr id="11" name="Imagem 11" descr="Figura 11 — As duas estratégias para iOS, Android e web"/>
            <a:graphic>
              <a:graphicData uri="http://schemas.openxmlformats.org/drawingml/2006/picture">
                <pic:pic>
                  <pic:nvPicPr>
                    <pic:cNvPr id="11" name="imagem11.png"/>
                    <pic:cNvPicPr/>
                  </pic:nvPicPr>
                  <pic:blipFill>
                    <a:blip r:embed="rIdImg11"/>
                    <a:stretch>
                      <a:fillRect/>
                    </a:stretch>
                  </pic:blipFill>
                  <pic:spPr>
                    <a:xfrm>
                      <a:off x="0" y="0"/>
                      <a:ext cx="5943600" cy="292143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As duas estratégias para iOS, Android e web</w:t>
      </w:r>
    </w:p>
    <w:p>
      <w:pPr>
        <w:jc w:val="center"/>
        <w:spacing w:before="0" w:after="40" w:line="264" w:lineRule="auto"/>
      </w:pPr>
      <w:r>
        <w:drawing>
          <wp:inline distT="0" distB="0" distL="0" distR="0">
            <wp:extent cx="5943600" cy="2971800"/>
            <wp:docPr id="12" name="Imagem 12" descr="Figura 12 — As quatro camadas dentro do aplicativo"/>
            <a:graphic>
              <a:graphicData uri="http://schemas.openxmlformats.org/drawingml/2006/picture">
                <pic:pic>
                  <pic:nvPicPr>
                    <pic:cNvPr id="12" name="imagem12.png"/>
                    <pic:cNvPicPr/>
                  </pic:nvPicPr>
                  <pic:blipFill>
                    <a:blip r:embed="rIdImg12"/>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As quatro camadas dentro do aplicativo</w:t>
      </w:r>
    </w:p>
    <w:p>
      <w:pPr>
        <w:jc w:val="center"/>
        <w:spacing w:before="0" w:after="40" w:line="264" w:lineRule="auto"/>
      </w:pPr>
      <w:r>
        <w:drawing>
          <wp:inline distT="0" distB="0" distL="0" distR="0">
            <wp:extent cx="5943600" cy="3525864"/>
            <wp:docPr id="13" name="Imagem 13" descr="Figura 13 — Da publicação à confirmação, com os prazos de cada etapa"/>
            <a:graphic>
              <a:graphicData uri="http://schemas.openxmlformats.org/drawingml/2006/picture">
                <pic:pic>
                  <pic:nvPicPr>
                    <pic:cNvPr id="13" name="imagem13.png"/>
                    <pic:cNvPicPr/>
                  </pic:nvPicPr>
                  <pic:blipFill>
                    <a:blip r:embed="rIdImg13"/>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o despacho, a elegibilidade e a reputação são as regras que sustentam a tese inteira, e precisam ser testáveis sem interface, sem rede e sem simulador, inclusive porque vão mudar conforme a validação de campo corrigir as hipóteses. A separação também permite compartilhar o domínio com o cliente Android ou com a web caso a decisão de stack aponte para uma base comum.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HTTP, cache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localização,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Testes de domínio e de integração dos fluxos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raio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 em levas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Busca de vagas na região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início e fim do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externo herdado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 de operação e janela crítica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durante 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 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(não cobrar do profissional),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s>
</file>