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2400" w:after="60" w:line="264" w:lineRule="auto"/>
      </w:pPr>
      <w:r>
        <w:rPr>
          <w:rFonts w:ascii="SF Pro Display" w:hAnsi="SF Pro Display" w:cs="SF Pro Display"/>
          <w:b/>
          <w:color w:val="1E6B3A"/>
          <w:sz w:val="56"/>
          <w:szCs w:val="56"/>
        </w:rPr>
        <w:t xml:space="preserve">ESPECIFICAÇÃO DE REQUISITOS</w:t>
      </w:r>
    </w:p>
    <w:p>
      <w:pPr>
        <w:jc w:val="center"/>
        <w:spacing w:before="0" w:after="600" w:line="264" w:lineRule="auto"/>
      </w:pPr>
      <w:r>
        <w:rPr>
          <w:rFonts w:ascii="SF Pro Display" w:hAnsi="SF Pro Display" w:cs="SF Pro Display"/>
          <w:color w:val="2FA84F"/>
          <w:sz w:val="26"/>
          <w:szCs w:val="26"/>
        </w:rPr>
        <w:t xml:space="preserve">Documento de Requisitos de Software</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40"/>
        <w:gridCol w:w="7020"/>
      </w:tblGrid>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Projeto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Grupo / Equipe</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BlendOps, Challenge 18 da Apple Developer Academy</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v1.0.0</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14/09/2026</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Histórico de Versões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100"/>
        <w:gridCol w:w="1200"/>
        <w:gridCol w:w="2760"/>
        <w:gridCol w:w="4300"/>
      </w:tblGrid>
      <w:tr>
        <w:trPr>
          <w:tblHeader/>
        </w:trPr>
        <w:tc>
          <w:tcPr>
            <w:tcW w:w="1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1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27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4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da Mudança</w:t>
            </w:r>
          </w:p>
        </w:tc>
      </w:tr>
      <w:tr>
        <w:tc>
          <w:tcPr>
            <w:tcW w:w="11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v1.0.0</w:t>
            </w:r>
          </w:p>
        </w:tc>
        <w:tc>
          <w:tcPr>
            <w:tcW w:w="1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14/09/2026</w:t>
            </w:r>
          </w:p>
        </w:tc>
        <w:tc>
          <w:tcPr>
            <w:tcW w:w="27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Criação inicial. Deriva as regras de negócio, requisitos e casos de uso do Documento de Visão v1.0.0 e dos documentos 00 a 04 revisados em setembro/2026.</w:t>
            </w:r>
          </w:p>
        </w:tc>
      </w:tr>
    </w:tbl>
    <w:p>
      <w:pPr>
        <w:spacing w:before="0" w:after="0" w:line="264" w:lineRule="auto"/>
      </w:pPr>
    </w:p>
    <w:p>
      <w:pPr>
        <w:keepNext/>
        <w:spacing w:before="0" w:after="200" w:line="264" w:lineRule="auto"/>
      </w:pPr>
      <w:r>
        <w:rPr>
          <w:rFonts w:ascii="SF Pro Display" w:hAnsi="SF Pro Display" w:cs="SF Pro Display"/>
          <w:b/>
          <w:color w:val="1E6B3A"/>
          <w:sz w:val="40"/>
          <w:szCs w:val="40"/>
        </w:rPr>
        <w:t xml:space="preserve">Glossário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4900"/>
        <w:gridCol w:w="246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Termo / Sigla</w:t>
            </w:r>
          </w:p>
        </w:tc>
        <w:tc>
          <w:tcPr>
            <w:tcW w:w="4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Definição</w:t>
            </w:r>
          </w:p>
        </w:tc>
        <w:tc>
          <w:tcPr>
            <w:tcW w:w="2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Funcional. Algo que o sistema deve fazer do ponto de vista do usuário.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3</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Não Funcional. Qualidade que o sistema deve ter (desempenho, segurança, acessibilidade).</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4</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Regra de Negócio. Restrição ou comportamento obrigatório definido pelo produto.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 Case (Caso de Uso). Interação entre ator e sistema para atingir um objetivo.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Diagrama Entidade-Relacionamento. Representação visual do banco de dados.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 / turno avulso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única jornada de trabalho contratada de forma pontual, sem vínculo continuado. É a unidade de trabalho do sistema.</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publicado pelo contratante descrevendo um turno a ser coberto: função, data, janela, local, valor e número de posições.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unidade preenchível de uma vaga. Uma vaga de 4 garçons tem 4 posições.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 ativo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Envio dirigido da vaga aos profissionais elegíveis por função, raio, disponibilidade e histórico, ordenado por taxa de comparecimento.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Conjunto de critérios que define quem recebe o despacho de uma vaga específica.</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Taxa de comparecimento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Proporção entre turnos aceitos e turnos efetivamente cumpridos pelo profissional.</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binária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única (“chamaria de novo?” ou “trabalharia de novo?”), exibida com o denominador e nunca como média de 1 a 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herdado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Atestado registrado por alguém que já trabalhou com o profissional fora da plataforma.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 modo seleção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Dois comportamentos de preenchimento: no primeiro, o primeiro candidato aprovado leva a posição; no segundo, o contratante escolhe entre os candidatos.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 crítica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Intervalo antes do início do turno em que uma posição ainda vaga passa a exigir intervenção da operação.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Hipótese não confirmada em campo. Marca herdada da documentação de pesquisa do projeto.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1. Introdução e Visão Geral</w:t>
      </w:r>
    </w:p>
    <w:p>
      <w:pPr>
        <w:keepNext/>
        <w:spacing w:before="280" w:after="120" w:line="264" w:lineRule="auto"/>
      </w:pPr>
      <w:r>
        <w:rPr>
          <w:rFonts w:ascii="SF Pro Display" w:hAnsi="SF Pro Display" w:cs="SF Pro Display"/>
          <w:b/>
          <w:color w:val="2FA84F"/>
          <w:sz w:val="30"/>
          <w:szCs w:val="30"/>
        </w:rPr>
        <w:t xml:space="preserve">1.1 Propósito do Documento</w:t>
      </w:r>
    </w:p>
    <w:p>
      <w:pPr>
        <w:spacing w:before="0" w:after="100" w:line="264" w:lineRule="auto"/>
      </w:pPr>
      <w:r>
        <w:rPr>
          <w:rFonts w:ascii="SF Pro Display" w:hAnsi="SF Pro Display" w:cs="SF Pro Display"/>
          <w:color w:val="1A1A1A"/>
          <w:sz w:val="22"/>
          <w:szCs w:val="22"/>
        </w:rPr>
        <w:t xml:space="preserve">Este documento especifica os requisitos funcionais, os requisitos não funcionais, as regras de negócio e os casos de uso do sistema Frila, servindo de referência para o time de desenvolvimento, para os testes e para a validação com as partes interessadas. O posicionamento de mercado, as personas e a justificativa de cada escolha estão no Documento de Visão v1.0.0, que este documento complementa e não repete.</w:t>
      </w:r>
    </w:p>
    <w:p>
      <w:pPr>
        <w:spacing w:before="0" w:after="100" w:line="264" w:lineRule="auto"/>
      </w:pPr>
      <w:r>
        <w:rPr>
          <w:rFonts w:ascii="SF Pro Display" w:hAnsi="SF Pro Display" w:cs="SF Pro Display"/>
          <w:color w:val="1A1A1A"/>
          <w:sz w:val="22"/>
          <w:szCs w:val="22"/>
        </w:rPr>
        <w:t xml:space="preserve">Uma ressalva de leitura, herdada da documentação de pesquisa do projeto: o Frila está em TRL 2, sem código escrito e sem validação de campo. As regras e os requisitos aqui derivam de evidência pública sobre o mercado e das falhas observadas nos concorrentes, mas as premissas de comportamento do usuário no Distrito Federal permanecem hipóteses, marcadas com [H]. Requisitos que dependem diretamente de uma hipótese trazem a marca no próprio texto, para que a revisão posterior saiba onde mexer.</w:t>
      </w:r>
    </w:p>
    <w:p>
      <w:pPr>
        <w:keepNext/>
        <w:spacing w:before="280" w:after="120" w:line="264" w:lineRule="auto"/>
      </w:pPr>
      <w:r>
        <w:rPr>
          <w:rFonts w:ascii="SF Pro Display" w:hAnsi="SF Pro Display" w:cs="SF Pro Display"/>
          <w:b/>
          <w:color w:val="2FA84F"/>
          <w:sz w:val="30"/>
          <w:szCs w:val="30"/>
        </w:rPr>
        <w:t xml:space="preserve">1.2 Escopo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Objetivo do Produto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Permitir que um contratante publique um turno avulso e o preencha em poucas horas com um profissional em quem possa confiar, ainda que as duas partes nunca tenham trabalhado juntas. O sistema resolve isso levando a vaga ativamente até quem pode aceitá-la e dando a cada lado um sinal verificável sobre o outro antes da decisão.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Público-alvo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Contratantes de food service (bares, restaurantes, cafeterias e similares), contratantes de evento (buffets, produtoras e empresas de staff), coordenações de campanha, e profissionais operacionais que trabalham por turno avulso. Praça inicial: Distrito Federal.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Plataformas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Aplicativo iOS nativo (requisito fechado do projeto), aplicativo Android e versão web. Todos os perfis de usuário são atendidos nas duas vias, com proposta de valor distinta por perfil. O Painel de Operação é exclusivamente web e interno. A decisão entre nativo nas duas plataformas ou base compartilhada ainda não foi tomada; o backend pode ser externo.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Fora do Escopo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ou repasse de pagamento. O valor é combinado e pago diretamente entre as partes, e o sistema apenas registra o que foi acordado. Também estão fora: contratação em regime CLT e processo seletivo, emissão de contrato ou nota fiscal, chat interno, avaliação por nota de 1 a 5, feed ou rede social, freelance remoto e digital, limpeza residencial convencional, operação fora do DF antes da consolidação local e qualquer cobrança dentro do aplicativo enquanto o modelo de monetização não estiver definido.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1.3 Visão Geral do Documento</w:t>
      </w:r>
    </w:p>
    <w:p>
      <w:pPr>
        <w:spacing w:before="0" w:after="100" w:line="264" w:lineRule="auto"/>
      </w:pPr>
      <w:r>
        <w:rPr>
          <w:rFonts w:ascii="SF Pro Display" w:hAnsi="SF Pro Display" w:cs="SF Pro Display"/>
          <w:color w:val="1A1A1A"/>
          <w:sz w:val="22"/>
          <w:szCs w:val="22"/>
        </w:rPr>
        <w:t xml:space="preserve">Este documento está organizado da seguinte forma: a Seção 2 define as Regras de Negócio, que originam os requisitos; a Seção 3 especifica os Requisitos Funcionais, com prioridade, critério de aceitação, estimativa e matriz de impacto por esforço; a Seção 4 descreve os Requisitos Não Funcionais; a Seção 5 lista o Escopo Não Contemplado; a Seção 6 apresenta os diagramas de casos de uso, de banco de dados, de classes e de arquitetura; e a Seção 7 reúne a matriz de rastreabilidade completa.</w:t>
      </w:r>
    </w:p>
    <w:p>
      <w:r>
        <w:br w:type="page"/>
      </w:r>
    </w:p>
    <w:p>
      <w:pPr>
        <w:keepNext/>
        <w:spacing w:before="0" w:after="200" w:line="264" w:lineRule="auto"/>
      </w:pPr>
      <w:r>
        <w:rPr>
          <w:rFonts w:ascii="SF Pro Display" w:hAnsi="SF Pro Display" w:cs="SF Pro Display"/>
          <w:b/>
          <w:color w:val="1E6B3A"/>
          <w:sz w:val="40"/>
          <w:szCs w:val="40"/>
        </w:rPr>
        <w:t xml:space="preserve">2. Regras de Negócio</w:t>
      </w:r>
    </w:p>
    <w:p>
      <w:pPr>
        <w:keepNext/>
        <w:spacing w:before="280" w:after="120" w:line="264" w:lineRule="auto"/>
      </w:pPr>
      <w:r>
        <w:rPr>
          <w:rFonts w:ascii="SF Pro Display" w:hAnsi="SF Pro Display" w:cs="SF Pro Display"/>
          <w:b/>
          <w:color w:val="2FA84F"/>
          <w:sz w:val="30"/>
          <w:szCs w:val="30"/>
        </w:rPr>
        <w:t xml:space="preserve">2.1 Regras Obrigatórias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4400"/>
        <w:gridCol w:w="42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4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w:t>
            </w:r>
          </w:p>
        </w:tc>
        <w:tc>
          <w:tcPr>
            <w:tcW w:w="42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 Justificativa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cobrar nada do profissional, em nenhuma modalidade: sem taxa de cadastro, sem assinatura, sem moeda e sem desbloqueio de contato.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todos os concorrentes pesquisados, e independentemente do modelo de cobrança, as piores avaliações vêm do lado de quem trabalha. O modelo de moedas do GetNinjas acumula relatos de gasto sem retorno. É a única definição fechada do modelo de receita.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vaga NÃO DEVE ser publicada sem função, data, horário de início e fim, local e valor por posição definidos.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precisa decidir com informação completa antes de aceitar. Avaliações dos concorrentes relatam chegada ao local “sem muita informação”, e aceite sem tempo de deslocamento.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valor NÃO DEVE ser negociável dentro do fluxo de candidatura: o que está no anúncio é o que vale.</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em um toque é o que torna possível preencher um turno em minutos. Negociação reintroduz o funil que o produto existe para eliminar.</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despachar ativamente toda vaga publicada aos profissionais elegíveis, e NUNCA apenas expô-la em um mural à espera de ser encontrada.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o mecanismo central do produto e a resposta ao padrão “cadastro não é liquidez”, presente em praticamente todo concorrente com número verificável.</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notificar profissional inelegível para a vaga, isto é, fora do raio, sem a função ou indisponível na janela.</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marketplace que manda tudo para todo mundo treina o usuário a ignorar notificação, e aí o canal morre. A notificação é o produto.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ordem de despacho DEVE ser determinada por taxa de comparecimento e histórico, e NÃO DEVE poder ser comprada, patrocinada ou promovida.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único incentivo do sistema é comparecer, e ele não custa dinheiro. Qualquer venda de prioridade reintroduz o leilão de trabalho que o projeto rejeita.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DEVE ser binária e bidirecional, liberada somente após o fim previsto do turno, e o sistema NÃO DEVE exibir média de 1 a 5.</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Nota média com poucas avaliações não informa nada; “sete de sete chamariam de novo” informa. A avaliação nos dois sentidos corrige a assimetria observada no setor, em que só o contratante avalia.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reputação exibida DEVE sempre mostrar o denominador (ex.: “7 de 7”) e o número de turnos considerados.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percentual sem denominador esconde amostra pequena e produz falsa 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processar, custodiar ou repassar pagamento. O valor acordado é registrado; o pagamento é combinado diretamente entre as partes.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Decisão de escopo da versão 1. Pagamento retido ou atrasado é a queixa recorrente em Switch, Closeer e eFreela; assumir a custódia sem operação madura repetiria o problema.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direto entre as partes SÓ DEVE ser liberado após a confirmação da posição.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Antes da confirmação não há compromisso, e liberar contato transforma a plataforma em lista de telefones. Depois dela, o contato é necessário para combinar detalhes e o pagamento.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registrar início e fim efetivos do turno e o valor acordado, e disponibilizar esse registro aos dois lados.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Hoje tudo isso vive em conversa de WhatsApp e memória. O registro é o que permite resolver divergência e é a base da taxa de comparecimento.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cancelamento DEVE registrar autor, momento e motivo, e DEVE reabrir a posição com novo despacho imediato.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cancelada e não reaberta é um turno que falha em silêncio. O registro do motivo é o que separa desistência de imprevisto na apuração.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suspender ou bloquear um perfil sem motivo registrado e sem canal de contestação com prazo de resposta.</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Punição percebida como injusta é queixa recorrente: bloqueio por duas desistências, inclusive com dois dias de antecedência, e punição por falta a uma vaga que havia sumido do aplicativo.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mínimo do profissional NÃO DEVE exigir mais do que o necessário para receber o primeiro despacho; a verificação de identidade é progressiva.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travado antes de qualquer trabalho é uma barreira documentada nos concorrentes: selfie que não centraliza, documento que não sobe, e recusa explícita por desconfiança.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Dados pessoais e documentos de identificação NÃO DEVEM aparecer em log nem ser usados fora da finalidade declarada ao titular.</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LGPD, e resposta direta à desconfiança registrada: “não acho seguro adicionar minha foto segurando meus documentos”.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criar subordinação, exclusividade ou escala obrigatória: o profissional escolhe o que aceita e recusar vaga NÃO DEVE gerar penalidade.</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Mitigação do risco de caracterização de vínculo empregatício, hoje em discussão no Tema 1.291 do STF e no PLP 12/2024. Recusar é diferente de aceitar e não comparecer.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ao contratante exportar o relatório consolidado de turnos realizados com data, horários auditados, valor acordado e profissional alocado.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Garante suporte ao fechamento contábil e conciliação financeira de restaurantes, bares e buffets, bem como à prestação de contas exigida em campanhas e produções de grande porte.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Valores monetários DEVEM ser armazenados em centavos, como inteiro, em reais (BRL), e horários DEVEM ser gravados em UTC e exibidos no fuso America/Sao_Paulo.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Evita erro de arredondamento em dinheiro e ambiguidade de horário em turno que vira a madrugada.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NÃO DEVE ser confirmada para mais de um profissional, mesmo sob candidaturas simultâneas.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dupla produz pessoa que se desloca sem ter trabalho, o tipo de falha que destrói confiança de uma vez só.</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DEVE ser restrito a maiores de 18 anos.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Exigência legal para trabalho em bares, eventos com venda de bebida alcoólica e trabalho noturno.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3. Requisitos Funcionais</w:t>
      </w:r>
    </w:p>
    <w:p>
      <w:pPr>
        <w:keepNext/>
        <w:spacing w:before="280" w:after="120" w:line="264" w:lineRule="auto"/>
      </w:pPr>
      <w:r>
        <w:rPr>
          <w:rFonts w:ascii="SF Pro Display" w:hAnsi="SF Pro Display" w:cs="SF Pro Display"/>
          <w:b/>
          <w:color w:val="2FA84F"/>
          <w:sz w:val="30"/>
          <w:szCs w:val="30"/>
        </w:rPr>
        <w:t xml:space="preserve">3.1 Lista de Requisitos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3700"/>
        <w:gridCol w:w="1000"/>
        <w:gridCol w:w="39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7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Funcional</w:t>
            </w:r>
          </w:p>
        </w:tc>
        <w:tc>
          <w:tcPr>
            <w:tcW w:w="1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Prioridade</w:t>
            </w:r>
          </w:p>
        </w:tc>
        <w:tc>
          <w:tcPr>
            <w:tcW w:w="39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cadastre e autentique com dados mínimos: nome, telefone, e-mail e confirmação de maioridade.</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profissional conclui o cadastro e fica apto a receber despacho em menos de 3 minutos, sem envio de documento.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cadastre o estabelecimento com razão social ou nome, documento (CNPJ ou CPF), endereço e responsável.</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contratante conclui o cadastro e publica a primeira vaga na mesma sessão, sem onboarding assistido.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declare suas funções, seu raio de atuação e sua disponibilidade por dia e faixa de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Alterações de função, raio e disponibilidade passam a valer no despacho seguinte, sem exigir novo login.</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publique uma vaga com função, data, horário de início e fim, local, valor por posição e número de posições.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fluxo completo de publicação é concluído em menos de 60 segundos no celular, e a vaga é rejeitada com mensagem clara se algum campo obrigatório de RN02 faltar.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republicar uma vaga a partir de outra já publicada, alterando apenas data 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republicação de uma vaga recorrente é concluída em menos de 20 segundos.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despachar a vaga aos profissionais elegíveis, ordenados por taxa de comparecimento, notificando em levas sucessivas enquanto houver posição aberta.</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primeira leva é notificada em até 30 segundos após a publicação; nenhum profissional inelegível recebe a notificação; a leva seguinte é disparada se a posição continuar aberta ao fim do intervalo configurado.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liste e busque vagas abertas na região, por função, data e distância.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lista traz as vagas abertas dentro do raio declarado, ordenadas por proximidade e por horário de início.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candidate a uma posição em um único toque a partir da notificação ou da lista.</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candidatura é concluída em no máximo 3 toques contados desde a notificação, sem formulário e sem negociação de valor.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dois modos de preenchimento: urgência, em que o primeiro candidato aprovado ocupa a posição, e seleção, em que o contratante escolhe entre os candidatos.</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modo é escolhido na publicação; em urgência, a posição é ocupada automaticamente pelo primeiro candidato elegível; em seleção, a posição permanece aberta até a escolha do contratante.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confirmar a posição e notificar os dois lados com função, local, horário, valor e identificação da contraparte.</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Ambos recebem a confirmação em até 60 segundos; a posição some das vagas abertas; nenhuma posição é confirmada para dois profissionais (RN19).</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liberar o canal de contato direto entre as partes (WhatsApp ou e-mail) somente após a confirmação.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é inacessível antes da confirmação e fica disponível para ambos imediatamente depois dela.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enviar lembrete pré-turno para os dois lados, em intervalo configurável.</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lembrete é entregue no intervalo definido e traz endereço, horário e contato da contraparte.</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registrar o início e o fim efetivos do turno pelas duas partes.</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registro grava data, hora e autor; divergência entre os dois registros é sinalizada e enviada ao Painel de Operação.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o cancelamento por qualquer das partes, com motivo e registro de antecedência, reabrindo a posição com novo despacho imediato.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cancelamento registra autor, momento e motivo; a posição volta a aparecer como aberta e a primeira leva de despacho é disparada em até 30 segundos.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solicitar a avaliação binária de cada lado após o fim previsto do turno.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só fica disponível após o horário de término; cada lado responde “sim” ou “não” a uma única pergunta; nenhuma nota de 1 a 5 é oferecida.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exibir, no perfil de cada parte, a reputação com denominador e a taxa de comparecimento.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mostra “N de M chamariam de novo” e a taxa de comparecimento com o total de turnos considerados; perfis sem histórico são exibidos explicitamente como sem histórico, e não como nota zero.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um contratante registre aval externo para um profissional com quem já trabalhou fora da plataforma.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aval é atribuído a um contratante identificado, aparece separado do histórico interno e nunca é somado à taxa de comparecimento.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estabelecimento mantenha uma equipe de confiança e a priorize no despacho das próximas vagas.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da equipe recebem o despacho na primeira leva, antes da ordenação geral por taxa de comparecimento.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montar uma escala de evento em lote, com múltiplas funções e posições, publicadas de uma vez e com antecedência.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possível publicar pelo menos 40 posições distribuídas em várias funções numa única operação, com acompanhamento do preenchimento por função.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apresentar, no Painel de Operação, os turnos com posição aberta dentro da janela crítica, com tempo restante e contato das partes.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Toda posição que entra na janela crítica aparece no painel; o operador registra a intervenção realizada e o resultado.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múltiplos usuários por estabelecimento, com papéis distintos (administrador e operador).</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novo usuário é incluído sem compartilhamento de senha; o histórico do estabelecimento permanece ao trocar de responsável.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manter o histórico de turnos das duas partes e permitir sua exportação em CSV e PDF.</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arquivo exportado contém data, função, horário registrado, valor acordado e contraparte de cada turno do período selecionado.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um canal de suporte acionável durante o turno.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acionamento abre um chamado vinculado ao turno, visível no Painel de Operação, com tempo de resposta declarado ao usuário.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um perfil suspenso consulte o motivo e abra contestação.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motivo da suspensão é exibido ao titular; a contestação gera um chamado com prazo de resposta definido (RN13).</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usuário exporte seus dados pessoais e solicite a exclusão da conta.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solicitação é registrada e atendida em até 15 dias; os dados de turnos já realizados são anonimizados em vez de apagados, preservando o histórico da contraparte.</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3.2 Tempo e Custo Estimados por RF</w:t>
      </w:r>
    </w:p>
    <w:p>
      <w:pPr>
        <w:spacing w:before="0" w:after="100" w:line="264" w:lineRule="auto"/>
      </w:pPr>
      <w:r>
        <w:rPr>
          <w:rFonts w:ascii="SF Pro Display" w:hAnsi="SF Pro Display" w:cs="SF Pro Display"/>
          <w:color w:val="1A1A1A"/>
          <w:sz w:val="22"/>
          <w:szCs w:val="22"/>
        </w:rPr>
        <w:t xml:space="preserve">Estimativas em dias de trabalho de uma equipe de cinco pessoas, considerando sprint de duas semanas. Custo de desenvolvimento é R$ 0 por ser trabalho interno da equipe; onde há custo, ele é de infraestrutura ou de serviço externo. Como não há código escrito, todas as estimativas são preliminares e devem ser revistas ao fim da primeira sprint. [H]</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15 dias / 1,5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push e geolocalização em camada gratuita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mapa</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12 dias / 1,5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10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7 dias / 1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ferramenta de atendimento, se contratada</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3.3 Matriz Impacto × Esforço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00"/>
        <w:gridCol w:w="2420"/>
        <w:gridCol w:w="2420"/>
        <w:gridCol w:w="2420"/>
      </w:tblGrid>
      <w:tr>
        <w:trPr>
          <w:tblHeader/>
        </w:trPr>
        <w:tc>
          <w:tcPr>
            <w:tcW w:w="2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Impacto ↓ Esforço →</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Baixo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Médio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Alto</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Alto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Quick wins, faça primeiro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RF04, RF08, RF10, RF11</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Planeje bem, vale o esforço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RF01, RF02, RF03, RF13, RF15, RF16, RF20</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Grande projeto, divida em partes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RF06, RF09, RF14</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Médio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Secundário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RF05, RF07, RF12</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RF17, RF18, RF21, RF22, RF25</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Evite por 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RF19, RF23</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Baixo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 sobrar tempo</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Baixa prioridade</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RF24</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Descarte ou adie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RF06 (despacho ativo) é o maior esforço da lista e também o coração do produto: sem ele o Frila vira mais um mural passivo, que é exatamente o modo de falha identificado em todos os concorrentes. RF19 (escala de evento em lote) tem impacto alto na estratégia de entrada pelo segmento de eventos, mas foi classificado como médio nesta matriz porque o ciclo básico precisa funcionar antes, e é candidato natural à segunda leva de construção.</w:t>
      </w:r>
    </w:p>
    <w:p>
      <w:r>
        <w:br w:type="page"/>
      </w:r>
    </w:p>
    <w:p>
      <w:pPr>
        <w:keepNext/>
        <w:spacing w:before="0" w:after="200" w:line="264" w:lineRule="auto"/>
      </w:pPr>
      <w:r>
        <w:rPr>
          <w:rFonts w:ascii="SF Pro Display" w:hAnsi="SF Pro Display" w:cs="SF Pro Display"/>
          <w:b/>
          <w:color w:val="1E6B3A"/>
          <w:sz w:val="40"/>
          <w:szCs w:val="40"/>
        </w:rPr>
        <w:t xml:space="preserve">4. Requisitos Não Funcionais</w:t>
      </w:r>
    </w:p>
    <w:p>
      <w:pPr>
        <w:keepNext/>
        <w:spacing w:before="280" w:after="120" w:line="264" w:lineRule="auto"/>
      </w:pPr>
      <w:r>
        <w:rPr>
          <w:rFonts w:ascii="SF Pro Display" w:hAnsi="SF Pro Display" w:cs="SF Pro Display"/>
          <w:b/>
          <w:color w:val="2FA84F"/>
          <w:sz w:val="30"/>
          <w:szCs w:val="30"/>
        </w:rPr>
        <w:t xml:space="preserve">4.1 Lista de Requisitos Não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50"/>
        <w:gridCol w:w="3500"/>
        <w:gridCol w:w="1400"/>
        <w:gridCol w:w="3610"/>
      </w:tblGrid>
      <w:tr>
        <w:trPr>
          <w:tblHeader/>
        </w:trPr>
        <w:tc>
          <w:tcPr>
            <w:tcW w:w="8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Não Funcional</w:t>
            </w:r>
          </w:p>
        </w:tc>
        <w:tc>
          <w:tcPr>
            <w:tcW w:w="1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Categoria</w:t>
            </w:r>
          </w:p>
        </w:tc>
        <w:tc>
          <w:tcPr>
            <w:tcW w:w="36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telas principais devem carregar em menos de 2 segundos em conexão 4G, e o fluxo completo de publicação de vaga deve ser concluído em menos de 60 segundos.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em aparelho Android de entrada e em rede 4G real, com percentil 95 dentro do limite.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notificações de vaga devem ser entregues de forma verificável, com reentrega automática em caso de falha e estado consultável pelo suporte.</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Confiabilidade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99% das notificações entregues em até 60 segundos após o despacho, medido em janela móvel de 7 dias; toda falha registra motivo.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primeira leva de despacho deve ser notificada em até 30 segundos após a publicação da vaga.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intervalo entre o registro da vaga e o envio ao provedor de push, no percentil 95.</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aplicativo deve funcionar em Android 9 ou superior com 2 GB de memória, em iOS 16 ou superior, e nos navegadores modernos em versão desktop e móvel.</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dos fluxos principais sem degradação em aparelho de referência de entrada e nas duas últimas versões dos navegadores suportados.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sessão típica de consulta e candidatura deve consumir menos de 1 MB de dados.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tráfego da sessão típica; imagens servidas comprimidas e sob demanda.</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Turnos confirmados devem permanecer legíveis sem conexão por pelo menos 24 horas, e ações feitas offline devem ser enfileiradas e sincronizadas.</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Tolerância a falhas</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modo avião, endereço, horário, função, valor e contato do turno confirmado continuam visíveis; nenhuma ação enfileirada é perdida ao restabelecer a conexão.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tráfego deve usar HTTPS, dados sensíveis devem ser criptografados em repouso e credenciais devem ficar no keychain do sistema.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Segurança</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 comunicação em texto claro; varredura de segurança sem achado crítico ou alto antes da publicação.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tratamento de dados pessoais deve observar a LGPD, com minimização, finalidade declarada por tipo de dado e exclusão atendida em prazo definido.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Privacidade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Base legal e finalidade documentadas por campo coletado; exclusão de conta atendida em até 15 dias; canal do encarregado publicado; documento e dado pessoal ausentes de qualquer log.</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sem treinamento por público não familiarizado com aplicativos profissionais.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teste com usuários reais, um profissional de primeira viagem conclui uma candidatura em até 3 toques a partir da notificação, sem ajuda, em pelo menos 8 de 10 tentativas.</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por pessoas com deficiência visual e motora.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Acessibilidade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Compatível com VoiceOver e TalkBack em todos os fluxos principais; contraste conforme WCAG 2.1 nível AA; tipografia dinâmica até o maior tamanho sem quebra de layout.</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suportar o universo da praça-piloto sem reescrita de arquitetura.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carga simulando o DF, cerca de 30 mil estabelecimentos e a base de profissionais correspondente, mantendo RNF01 e RNF03.</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estar disponível na janela em que o problema acontece.</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 mensal de 99,5%; nenhuma manutenção programada entre quinta e domingo, das 16h às 02h.</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despacho, candidatura, confirmação, execução, cancelamento e avaliação devem deixar registro consultável e exportável.</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Auditabilidade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evento do ciclo do turno grava data, hora, autor e estado anterior; o histórico é exportável por período.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tratar concorrência sem perder candidatura nem produzir confirmação dupla.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Robustez</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candidaturas simultâneas à mesma posição resulta em exatamente uma confirmação e em retorno claro para os demais candidatos.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interface deve ser em português do Brasil, com moeda em reais e horários no fuso America/Sao_Paulo.</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Localização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texto não traduzido nas telas de uso; valores exibidos em reais; turnos que atravessam a meia-noite exibidos corretamente.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não deve exibir publicidade nem promover perfis mediante pagamento.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Integridade do produto</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Ausência de qualquer espaço publicitário e de mecanismo de promoção paga na ordenação do despacho (RN06).</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4.2 Tempo e Custo Estimados por RNF</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3 dias por sprint de ajuste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APNs e FCM sem custo no volume previsto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Incluído em RF06</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adequação e testes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aparelhos de teste já disponíveis</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otimização de imagem</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certificado TLS gerenciado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Exige revisão jurídica externa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2 rodadas de teste de usabilidade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7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teste de carga</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infraestrutura durante o teste</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na operação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Infraestrutura mensal, a definir com a stack</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armazenamento de histórico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custo de implementação, é decisão de produto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5. Escopo Não Contemplado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900"/>
        <w:gridCol w:w="4460"/>
        <w:gridCol w:w="2000"/>
      </w:tblGrid>
      <w:tr>
        <w:trPr>
          <w:tblHeader/>
        </w:trPr>
        <w:tc>
          <w:tcPr>
            <w:tcW w:w="2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Funcionalidade / Recurso</w:t>
            </w:r>
          </w:p>
        </w:tc>
        <w:tc>
          <w:tcPr>
            <w:tcW w:w="4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 da Exclusão</w:t>
            </w:r>
          </w:p>
        </w:tc>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Previsão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e repasse de pagamento (carteira, split, escrow)</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Exige operação financeira madura, conformidade regulatória e capital de giro. Pagamento retido ou atrasado é a queixa recorrente em Switch, Closeer e eFreela, e assumir a custódia sem estrutura repetiria o problema que o produto quer evitar.</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condicionado à validação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Cobrança dentro do aplicativo e qualquer modelo de monetização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modelo de receita está deliberadamente em aberto até a validação de campo. Toda conta de receita depende de um preço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Contratação em regime CLT, processo seletivo e banco de currículos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Outro negócio, com outro ciclo, outro comprador e outro tempo de decisão. Currículo e processo seletivo não cabem num turno que começa em duas horas.</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Emissão de contrato, recibo ou nota fiscal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Depende da definição do modelo de intermediação e de revisão jurídica sobre vínculo. O registro do turno cobre a necessidade imediata de comprovação.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Chat interno entre as partes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Na v1 o contato é liberado por WhatsApp ou e-mail após a confirmação, que é onde as pessoas já estão. Construir um canal paralelo adiciona superfície de produto sem resolver nada novo.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se a validação indicar necessidade</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por nota de 1 a 5 e comentários abertos</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 com poucas avaliações não informa nada, e comentário aberto abre frente de moderação. A reputação binária com denominador é a aposta central do produto.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 seguidores, perfil público e qualquer camada social</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Frila não é rede social profissional. Não há conteúdo, não há audiência e não há motivo para alguém voltar ao app fora do ciclo do turno.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Freelance remoto e digital (design, programação, redação)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Categoria diferente, sem componente presencial, já atendida por marketplaces globais. Confiança não transfere entre setores e a diluição mata a densidade.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Limpeza residencial convencional e serviços domésticos recorrentes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Já possuem canais próprios consolidados e uma dinâmica de recorrência diferente da do turno avulso.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Operação fora do Distrito Federal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estratégia é territorial e sequencial: dominar o DF antes de abrir qualquer outra praça. Densidade é difícil de construir e fácil de perder.</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Depois da consolidação no DF</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Verificação de antecedentes criminais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por consulta relevante, impacto direto na barreira de entrada do profissional e implicações de discriminação que exigem análise jurídica.</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Seguro de acidentes pessoais para o profissional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Praticado por pelo menos um concorrente e possivelmente relevante, mas depende de parceria e de um modelo de receita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Geolocalização em tempo real do profissional a caminho do turno</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bateria e de privacidade alto demais para o benefício, e tensiona a regra que evita caracterizar subordinação (RN16).</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 na forma contínua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Integrações com PDV, sistema de ponto e folha de pagamento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público-alvo primário são operações pequenas, cuja infraestrutura de software costuma ser o celular de quem está no salão.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6. Diagramas</w:t>
      </w:r>
    </w:p>
    <w:p>
      <w:pPr>
        <w:keepNext/>
        <w:spacing w:before="280" w:after="120" w:line="264" w:lineRule="auto"/>
      </w:pPr>
      <w:r>
        <w:rPr>
          <w:rFonts w:ascii="SF Pro Display" w:hAnsi="SF Pro Display" w:cs="SF Pro Display"/>
          <w:b/>
          <w:color w:val="2FA84F"/>
          <w:sz w:val="30"/>
          <w:szCs w:val="30"/>
        </w:rPr>
        <w:t xml:space="preserve">6.1 Diagrama de Casos de Uso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360"/>
      </w:tblGrid>
      <w:tr>
        <w:tc>
          <w:tcPr>
            <w:tcW w:w="9360" w:type="dxa"/>
            <w:vAlign w:val="top"/>
            <w:tcMar>
              <w:top w:w="90" w:type="dxa"/>
              <w:left w:w="120" w:type="dxa"/>
              <w:bottom w:w="90" w:type="dxa"/>
              <w:right w:w="120" w:type="dxa"/>
            </w:tcMar>
          </w:tcPr>
          <w:p>
            <w:pPr>
              <w:jc w:val="center"/>
              <w:spacing w:before="0" w:after="40" w:line="264" w:lineRule="auto"/>
            </w:pPr>
            <w:r>
              <w:rPr>
                <w:rFonts w:ascii="SF Pro Display" w:hAnsi="SF Pro Display" w:cs="SF Pro Display"/>
                <w:b/>
                <w:color w:val="8C8C8C"/>
                <w:sz w:val="22"/>
                <w:szCs w:val="22"/>
              </w:rPr>
              <w:t xml:space="preserve">Diagrama de Casos de Uso</w:t>
            </w:r>
          </w:p>
          <w:p>
            <w:pPr>
              <w:jc w:val="center"/>
              <w:spacing w:before="0" w:after="0" w:line="264" w:lineRule="auto"/>
            </w:pPr>
            <w:r>
              <w:rPr>
                <w:rFonts w:ascii="SF Pro Display" w:hAnsi="SF Pro Display" w:cs="SF Pro Display"/>
                <w:i/>
                <w:color w:val="8C8C8C"/>
                <w:sz w:val="18"/>
                <w:szCs w:val="18"/>
              </w:rPr>
              <w:t xml:space="preserve">Inserir o diagrama aqui. Atores previstos: Profissional, Contratante, Operador do Painel e Sistema (despacho automático). Casos de uso UC01 a UC08, descritos abaixo.</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Descrição dos Casos de Uso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UC01: Publicar vaga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(food service, evento ou campanha)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autenticado e o estabelecimento tem cadastro completo.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escolhe publicar uma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apresenta o formulário com função, data, horário de início e fim, local, valor por posição, número de posições e modo de preenchimento.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contratante preenche os campos. O local é pré-preenchido com o endereço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valida a obrigatoriedade dos campos conforme RN02.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contratante confirma a publicação.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6. O sistema registra a vaga, cria uma posição por unidade solicitada e aciona UC02.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Algum campo obrigatório está ausente ou inválido: o sistema indica o campo e impede a publicação.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contratante opta por republicar uma vaga anterior: o sistema pré-preenche todos os campos e solicita apenas a nova data e o novo horário (RF05).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publicada, posições criadas com estado aberto e despacho iniciado.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RN18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sou um contratante autenticado com estabelecimento cadastrado, quando preencho função, data, horário, local, valor e número de posições e confirmo, então a vaga é publicada em menos de 60 segundos e a primeira leva de despacho é disparada.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UC02: Despachar vaga aos profissionais elegíveis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Sistema (automático), disparado pela publicação ou pela reabertura de posição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posição aberta na vaga.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seleciona os profissionais elegíveis: função compatível, local dentro do raio declarado, disponibilidade na janela e histórico aceitável.</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ordena os elegíveis por prioridade: equipe de confiança do estabelecimento primeiro, depois por taxa de comparecimento.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monta a primeira leva e envia a notificação.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o envio e o estado de entrega de cada notificação.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Esgotado o intervalo da leva com a posição ainda aberta, o sistema dispara a leva seguinte e repete até preencher a posição, esgotar os elegíveis ou atingir o horário de início.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Não há nenhum elegível: o sistema registra a ausência de oferta e marca a vaga para o Painel de Operação (UC07).</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A entrega da notificação falha: o sistema reagenda a entrega e registra o motivo (RNF02).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Os elegíveis se esgotam antes do preenchimento: o sistema amplia o raio dentro do limite configurado e, persistindo, aciona UC07.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elegíveis notificados, com registro de envio e de entrega.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vaga foi publicada com posições abertas, quando o despacho é executado, então apenas profissionais elegíveis são notificados, em até 30 segundos, na ordem de prioridade definida, e nenhum profissional inelegível recebe a notificação.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UC03: Candidatar-se a uma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está autenticado, tem perfil ativo e recebeu o despacho ou encontrou a vaga na busca.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abre a notificação ou a vaga na lista.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exibe função, endereço, data, horário, valor e o perfil do contratante com reputação e denominador.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se candidata com um toque.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candidatura e aciona UC04.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A posição já foi preenchida enquanto o profissional visualizava: o sistema informa o encerramento e oferece outras vagas próximas.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já tem turno confirmado na mesma janela: o sistema alerta sobre o conflito e pede confirmação explícita antes de prosseguir.</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registrada e submetida ao fluxo de confirmação.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 RN10, RN19</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recebi a notificação de uma vaga elegível, quando toco em candidatar-me, então a candidatura é registrada em no máximo 3 toques contados desde a notificação, sem formulário e sem negociação de valor.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UC04: Confirmar profissional na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ou Sistema no modo urgência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candidatura para a posição.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No modo urgência, o sistema confirma automaticamente o primeiro candidato elegível.</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No modo seleção, o sistema apresenta os candidatos ao contratante com reputação, denominador e taxa de comparecimento, e o contratante escolhe.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marca a posição como preenchida e garante que nenhuma outra confirmação ocorra para ela.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notifica os dois lados com função, local, horário, valor e identificação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libera o canal de contato direto entre as partes.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contratante não escolhe até a janela crítica: a posição entra no Painel de Operação (UC07).</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Duas candidaturas chegam simultaneamente: o sistema confirma exatamente uma e devolve retorno claro à outra.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 preenchida, ambas as partes notificadas e contato liberado.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RN19</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há candidaturas para uma posição, quando a confirmação ocorre, então os dois lados recebem a notificação com os dados completos do turno em até 60 segundos, o contato é liberado e a posição deixa de aparecer entre as vagas abertas.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UC05: Registrar a execução do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cujo horário de início já chegou.</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envia o lembrete pré-turno para os dois lados.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profissional registra o início ao chegar.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contratante confirma o início.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Ao término, qualquer das partes registra o fim e a outra confirma.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grava início, fim e valor acordado, e disponibiliza o registro aos dois.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profissional não registra o início dentro da tolerância: o sistema alerta o contratante e sinaliza a posição no Painel de Operação.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Os registros das partes divergem: o sistema mantém os dois, sinaliza a divergência e a encaminha à operação.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 profissional não comparece: o contratante registra a ausência, o que afeta a taxa de comparecimento, e a posição pode ser reaberta (UC08).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registrado com horários e valor, e avaliação liberada após o término previsto.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RN09, RN18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confirmado foi executado, quando as duas partes registram início e fim, então o sistema grava os horários e o valor acordado e disponibiliza o registro para consulta e exportação por ambos.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UC06: Avaliar após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horário de término previsto do turno já passou.</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solicita a avaliação a cada lado.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Cada um responde a uma única pergunta: “Você chamaria essa pessoa de novo?” para o contratante, “Você trabalharia nesse local de novo?” para o profissional.</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resposta e atualiza a reputação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recalcula a taxa de comparecimento a partir dos registros de UC05.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As reputações atualizadas passam a valer no próximo despacho.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Uma das partes não responde: a reputação da outra não é alterada, e o denominador exibido considera apenas as respostas efetivamente dadas.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turno foi cancelado antes de começar: nenhuma avaliação é solicitada, e o cancelamento é registrado separadamente.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e taxa de comparecimento atualizadas para os dois lados.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terminou, quando ambas as partes respondem à pergunta binária, então a reputação de cada uma é atualizada e passa a ser exibida com o denominador, sem que nenhuma média de 1 a 5 seja apresentada.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UC07: Intervir em turno em risco pelo Painel de Operação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Operador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posição aberta dentro da janela crítica, ou uma vaga sinalizada por ausência de elegíveis, divergência de registro ou não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lista no painel as posições em risco, com tempo restante, histórico de despacho e contato das partes.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operador escolhe uma posição e analisa o que já foi tentado.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operador aciona profissionais manualmente ou contata o contratante para ajustar valor, horário ou função.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operador registra a intervenção e o resultado.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Preenchida a posição, ela sai da lista de risco.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Não há como preencher: o operador registra o turno como não preenchido, com o motivo, e comunica o contratante. O caso alimenta a revisão de raio, valor e antecedência.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caso é uma divergência de registro ou uma disputa entre as partes: o operador apura, registra a decisão e, se aplicável, aciona UC08 ou a suspensão prevista em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Intervenção registrada e posição preenchida ou encerrada com motivo.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entra na janela crítica sem estar preenchida, quando abro o Painel de Operação, então ela aparece na lista de risco com tempo restante e contatos, e toda ação que eu registrar fica vinculada ao turno.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UC08: Cancelar e reabrir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Contratante ou Operador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ainda não executada, ou um não comparecimento registrado.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 parte solicita o cancelamento e informa o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registra autor, momento, antecedência e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notifica 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devolve a posição ao estado aberto e aciona UC02 imediatamente.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contabiliza o evento no histórico da parte que cancelou, distinguindo cancelamento com antecedência de não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O horário de início já passou: a posição não é reaberta; o caso vai para o Painel de Operação como turno não coberto.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 padrão de cancelamentos de uma parte ultrapassa o limite definido: o sistema sinaliza para apuração humana, nunca para bloqueio automático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registrado, posição reaberta quando cabível e histórico atualizado.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confirmada é cancelada antes do início do turno, quando o motivo é informado, então a contraparte é notificada, a posição volta a ficar aberta e um novo despacho é disparado em até 30 segundos.</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6.2 Diagrama de Banco de Dados (DER)</w:t>
      </w:r>
    </w:p>
    <w:p>
      <w:pPr>
        <w:spacing w:before="0" w:after="100" w:line="264" w:lineRule="auto"/>
      </w:pPr>
      <w:r>
        <w:rPr>
          <w:rFonts w:ascii="SF Pro Display" w:hAnsi="SF Pro Display" w:cs="SF Pro Display"/>
          <w:color w:val="1A1A1A"/>
          <w:sz w:val="22"/>
          <w:szCs w:val="22"/>
        </w:rPr>
        <w:t xml:space="preserve">O eixo do modelo é uma cadeia só — vaga → posição → turno → avaliação —, o ciclo de vida de uma unidade de trabalho da publicação à reputação. Despacho e candidatura penduram-se nela como o registro de quem foi chamado e quem respondeu. As duas vistas abaixo são do mesmo esquema: separá-las evita o emaranhado de linhas que um único desenho com dezesseis entidades produz.</w:t>
      </w:r>
    </w:p>
    <w:p>
      <w:pPr>
        <w:jc w:val="center"/>
        <w:spacing w:before="0" w:after="40" w:line="264" w:lineRule="auto"/>
      </w:pPr>
      <w:r>
        <w:drawing>
          <wp:inline distT="0" distB="0" distL="0" distR="0">
            <wp:extent cx="5943600" cy="2588341"/>
            <wp:docPr id="1" name="Imagem 1" descr="Figura 1 — O ciclo de uma vaga: da publicação à avaliação"/>
            <a:graphic>
              <a:graphicData uri="http://schemas.openxmlformats.org/drawingml/2006/picture">
                <pic:pic>
                  <pic:nvPicPr>
                    <pic:cNvPr id="1" name="imagem1.png"/>
                    <pic:cNvPicPr/>
                  </pic:nvPicPr>
                  <pic:blipFill>
                    <a:blip r:embed="rIdImg1"/>
                    <a:stretch>
                      <a:fillRect/>
                    </a:stretch>
                  </pic:blipFill>
                  <pic:spPr>
                    <a:xfrm>
                      <a:off x="0" y="0"/>
                      <a:ext cx="5943600" cy="258834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 — O ciclo de uma vaga: da publicação à avaliação</w:t>
      </w:r>
    </w:p>
    <w:p>
      <w:pPr>
        <w:jc w:val="center"/>
        <w:spacing w:before="0" w:after="40" w:line="264" w:lineRule="auto"/>
      </w:pPr>
      <w:r>
        <w:drawing>
          <wp:inline distT="0" distB="0" distL="0" distR="0">
            <wp:extent cx="5943600" cy="2400300"/>
            <wp:docPr id="2" name="Imagem 2" descr="Figura 2 — Uma conta de acesso, dois papéis"/>
            <a:graphic>
              <a:graphicData uri="http://schemas.openxmlformats.org/drawingml/2006/picture">
                <pic:pic>
                  <pic:nvPicPr>
                    <pic:cNvPr id="2" name="imagem2.png"/>
                    <pic:cNvPicPr/>
                  </pic:nvPicPr>
                  <pic:blipFill>
                    <a:blip r:embed="rIdImg2"/>
                    <a:stretch>
                      <a:fillRect/>
                    </a:stretch>
                  </pic:blipFill>
                  <pic:spPr>
                    <a:xfrm>
                      <a:off x="0" y="0"/>
                      <a:ext cx="5943600" cy="24003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2 — Uma conta de acesso, dois papéis</w:t>
      </w:r>
    </w:p>
    <w:p>
      <w:pPr>
        <w:jc w:val="center"/>
        <w:spacing w:before="0" w:after="40" w:line="264" w:lineRule="auto"/>
      </w:pPr>
      <w:r>
        <w:drawing>
          <wp:inline distT="0" distB="0" distL="0" distR="0">
            <wp:extent cx="5943600" cy="2701636"/>
            <wp:docPr id="3" name="Imagem 3" descr="Figura 3 — O que decide quem recebe o despacho"/>
            <a:graphic>
              <a:graphicData uri="http://schemas.openxmlformats.org/drawingml/2006/picture">
                <pic:pic>
                  <pic:nvPicPr>
                    <pic:cNvPr id="3" name="imagem3.png"/>
                    <pic:cNvPicPr/>
                  </pic:nvPicPr>
                  <pic:blipFill>
                    <a:blip r:embed="rIdImg3"/>
                    <a:stretch>
                      <a:fillRect/>
                    </a:stretch>
                  </pic:blipFill>
                  <pic:spPr>
                    <a:xfrm>
                      <a:off x="0" y="0"/>
                      <a:ext cx="5943600" cy="2701636"/>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3 — O que decide quem recebe o despacho</w:t>
      </w:r>
    </w:p>
    <w:p>
      <w:pPr>
        <w:jc w:val="center"/>
        <w:spacing w:before="0" w:after="40" w:line="264" w:lineRule="auto"/>
      </w:pPr>
      <w:r>
        <w:drawing>
          <wp:inline distT="0" distB="0" distL="0" distR="0">
            <wp:extent cx="5943600" cy="2281917"/>
            <wp:docPr id="4" name="Imagem 4" descr="Figura 4 — Os estados de uma posição e as transições válidas"/>
            <a:graphic>
              <a:graphicData uri="http://schemas.openxmlformats.org/drawingml/2006/picture">
                <pic:pic>
                  <pic:nvPicPr>
                    <pic:cNvPr id="4" name="imagem4.png"/>
                    <pic:cNvPicPr/>
                  </pic:nvPicPr>
                  <pic:blipFill>
                    <a:blip r:embed="rIdImg4"/>
                    <a:stretch>
                      <a:fillRect/>
                    </a:stretch>
                  </pic:blipFill>
                  <pic:spPr>
                    <a:xfrm>
                      <a:off x="0" y="0"/>
                      <a:ext cx="5943600" cy="228191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4 — Os estados de uma posição e as transições válidas</w:t>
      </w:r>
    </w:p>
    <w:p>
      <w:pPr>
        <w:keepNext/>
        <w:spacing w:before="200" w:after="80" w:line="264" w:lineRule="auto"/>
      </w:pPr>
      <w:r>
        <w:rPr>
          <w:rFonts w:ascii="SF Pro Display" w:hAnsi="SF Pro Display" w:cs="SF Pro Display"/>
          <w:b/>
          <w:color w:val="1E6B3A"/>
          <w:sz w:val="24"/>
          <w:szCs w:val="24"/>
        </w:rPr>
        <w:t xml:space="preserve">Descrição das Entidades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750"/>
        <w:gridCol w:w="2500"/>
        <w:gridCol w:w="2800"/>
        <w:gridCol w:w="2310"/>
      </w:tblGrid>
      <w:tr>
        <w:trPr>
          <w:tblHeader/>
        </w:trPr>
        <w:tc>
          <w:tcPr>
            <w:tcW w:w="1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Entidade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w:t>
            </w:r>
          </w:p>
        </w:tc>
        <w:tc>
          <w:tcPr>
            <w:tcW w:w="2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Relacionamentos</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de acesso, comum a todos os perfis.</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telefone, email, senha_hash, criado_em, estado, maioridade_confirmada</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Profissional; N:N com Estabelecimento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de quem executa turnos.</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raio_km, ponto_base, taxa_comparecimento, turnos_realizados, estado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Usuario; N:N com Funcao; 1:N com Disponibilidade, Candidatura e Avaliacao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bar, restaurante, buffet, produtora ou coordenação de campanha.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documento, tipo, endereco, geo_lat, geo_lng,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1:N com Vaga e EquipeConfianca; N:N com Usuario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MembroEstabelecimento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Vínculo entre um usuário e um estabelecimento, com papel.</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estabelecimento_id, papel, criado_em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N:1 com Estabelecimento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Catálogo de funções operacionais (garçom, bartender, chapeiro, montador…).</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categoria, ativo</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N:N com Profissional;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publicado por um estabelecimento.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funcao_id, inicio_em, fim_em, local, geo_lat, geo_lng, valor_centavos, modo, estado, publicado_em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e Funcao; 1:N com Posicao e Despacho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Unidade preenchível de uma vaga. Uma vaga de 4 garçons tem 4 posições.</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estado, profissional_id, confirmado_em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1:N com Candidatura; 1:1 com Turno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Janelas em que o profissional aceita trabalhar.</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dia_semana, hora_inicio, hora_fim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cada envio de vaga a um profissional elegível.</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profissional_id, leva, enviado_em, estado_entrega, entregue_em, motivo_falha</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N:1 com Profissional</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Manifestação de interesse de um profissional por uma posição.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profissional_id, criada_em, estado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efetiva de uma posição confirmada.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inicio_registrado_em, fim_registrado_em, registrado_por, valor_acordado_centavos, divergencia</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Posicao; 1:N com Avaliacao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binária de um lado sobre o outro, após o turno.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turno_id, autor_tipo, autor_id, alvo_tipo, alvo_id, resposta, criada_em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Turno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AvalExterno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de quem trabalhou com o profissional fora da plataforma.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estabelecimento_id, texto, verificado_em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 N:1 com 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EquipeConfianca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que um estabelecimento prioriza no despacho.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profissional_id, adicionado_em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Agrupamento de vagas de um mesmo evento, para escala em lote.</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nome, data, local</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Ocorrencia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intervenção, cancelamento, suspensão ou contestação.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tipo, turno_id, posicao_id, autor_id, motivo, criada_em, resultado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Turno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6.3 Diagrama de Classes</w:t>
      </w:r>
    </w:p>
    <w:p>
      <w:pPr>
        <w:spacing w:before="0" w:after="100" w:line="264" w:lineRule="auto"/>
      </w:pPr>
      <w:r>
        <w:rPr>
          <w:rFonts w:ascii="SF Pro Display" w:hAnsi="SF Pro Display" w:cs="SF Pro Display"/>
          <w:color w:val="1A1A1A"/>
          <w:sz w:val="22"/>
          <w:szCs w:val="22"/>
        </w:rPr>
        <w:t xml:space="preserve">A regra de dependência vale em toda seta: o domínio é alvo de todas e origem de nenhuma. Quando precisa falar com o mundo, declara um protocolo e espera que alguém o implemente — é o que permite testar despacho, elegibilidade e reputação sem rede, sem interface e sem simulador.</w:t>
      </w:r>
    </w:p>
    <w:p>
      <w:pPr>
        <w:jc w:val="center"/>
        <w:spacing w:before="0" w:after="40" w:line="264" w:lineRule="auto"/>
      </w:pPr>
      <w:r>
        <w:drawing>
          <wp:inline distT="0" distB="0" distL="0" distR="0">
            <wp:extent cx="5943600" cy="2467154"/>
            <wp:docPr id="5" name="Imagem 5" descr="Figura 5 — A regra de dependência entre as camadas"/>
            <a:graphic>
              <a:graphicData uri="http://schemas.openxmlformats.org/drawingml/2006/picture">
                <pic:pic>
                  <pic:nvPicPr>
                    <pic:cNvPr id="5" name="imagem5.png"/>
                    <pic:cNvPicPr/>
                  </pic:nvPicPr>
                  <pic:blipFill>
                    <a:blip r:embed="rIdImg5"/>
                    <a:stretch>
                      <a:fillRect/>
                    </a:stretch>
                  </pic:blipFill>
                  <pic:spPr>
                    <a:xfrm>
                      <a:off x="0" y="0"/>
                      <a:ext cx="5943600" cy="246715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5 — A regra de dependência entre as camadas</w:t>
      </w:r>
    </w:p>
    <w:p>
      <w:pPr>
        <w:jc w:val="center"/>
        <w:spacing w:before="0" w:after="40" w:line="264" w:lineRule="auto"/>
      </w:pPr>
      <w:r>
        <w:drawing>
          <wp:inline distT="0" distB="0" distL="0" distR="0">
            <wp:extent cx="5943600" cy="2728209"/>
            <wp:docPr id="6" name="Imagem 6" descr="Figura 6 — Camada de domínio: entidades e serviços"/>
            <a:graphic>
              <a:graphicData uri="http://schemas.openxmlformats.org/drawingml/2006/picture">
                <pic:pic>
                  <pic:nvPicPr>
                    <pic:cNvPr id="6" name="imagem6.png"/>
                    <pic:cNvPicPr/>
                  </pic:nvPicPr>
                  <pic:blipFill>
                    <a:blip r:embed="rIdImg6"/>
                    <a:stretch>
                      <a:fillRect/>
                    </a:stretch>
                  </pic:blipFill>
                  <pic:spPr>
                    <a:xfrm>
                      <a:off x="0" y="0"/>
                      <a:ext cx="5943600" cy="272820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6 — Camada de domínio: entidades e serviços</w:t>
      </w:r>
    </w:p>
    <w:p>
      <w:pPr>
        <w:jc w:val="center"/>
        <w:spacing w:before="0" w:after="40" w:line="264" w:lineRule="auto"/>
      </w:pPr>
      <w:r>
        <w:drawing>
          <wp:inline distT="0" distB="0" distL="0" distR="0">
            <wp:extent cx="5943600" cy="2494189"/>
            <wp:docPr id="7" name="Imagem 7" descr="Figura 7 — Portas e implementações: produção e teste"/>
            <a:graphic>
              <a:graphicData uri="http://schemas.openxmlformats.org/drawingml/2006/picture">
                <pic:pic>
                  <pic:nvPicPr>
                    <pic:cNvPr id="7" name="imagem7.png"/>
                    <pic:cNvPicPr/>
                  </pic:nvPicPr>
                  <pic:blipFill>
                    <a:blip r:embed="rIdImg7"/>
                    <a:stretch>
                      <a:fillRect/>
                    </a:stretch>
                  </pic:blipFill>
                  <pic:spPr>
                    <a:xfrm>
                      <a:off x="0" y="0"/>
                      <a:ext cx="5943600" cy="249418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7 — Portas e implementações: produção e teste</w:t>
      </w:r>
    </w:p>
    <w:p>
      <w:pPr>
        <w:jc w:val="center"/>
        <w:spacing w:before="0" w:after="40" w:line="264" w:lineRule="auto"/>
      </w:pPr>
      <w:r>
        <w:drawing>
          <wp:inline distT="0" distB="0" distL="0" distR="0">
            <wp:extent cx="5943600" cy="2281917"/>
            <wp:docPr id="8" name="Imagem 8" descr="Figura 8 — Camada de apresentação"/>
            <a:graphic>
              <a:graphicData uri="http://schemas.openxmlformats.org/drawingml/2006/picture">
                <pic:pic>
                  <pic:nvPicPr>
                    <pic:cNvPr id="8" name="imagem8.png"/>
                    <pic:cNvPicPr/>
                  </pic:nvPicPr>
                  <pic:blipFill>
                    <a:blip r:embed="rIdImg8"/>
                    <a:stretch>
                      <a:fillRect/>
                    </a:stretch>
                  </pic:blipFill>
                  <pic:spPr>
                    <a:xfrm>
                      <a:off x="0" y="0"/>
                      <a:ext cx="5943600" cy="228191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8 — Camada de apresentação</w:t>
      </w:r>
    </w:p>
    <w:p>
      <w:pPr>
        <w:keepNext/>
        <w:spacing w:before="200" w:after="80" w:line="264" w:lineRule="auto"/>
      </w:pPr>
      <w:r>
        <w:rPr>
          <w:rFonts w:ascii="SF Pro Display" w:hAnsi="SF Pro Display" w:cs="SF Pro Display"/>
          <w:b/>
          <w:color w:val="1E6B3A"/>
          <w:sz w:val="24"/>
          <w:szCs w:val="24"/>
        </w:rPr>
        <w:t xml:space="preserve">Descrição das Classes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200"/>
        <w:gridCol w:w="2300"/>
        <w:gridCol w:w="2500"/>
        <w:gridCol w:w="2360"/>
      </w:tblGrid>
      <w:tr>
        <w:trPr>
          <w:tblHeader/>
        </w:trPr>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Classe</w:t>
            </w:r>
          </w:p>
        </w:tc>
        <w:tc>
          <w:tcPr>
            <w:tcW w:w="2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Responsabilidade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Métodos Principais</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turno publicado e seu estado.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funcao: Funcao, inicio: Date, fim: Date, local: Local, valorCentavos: Int, modo: ModoPreenchimento, posicoes: [Posicao]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posicoesAbertas(): [Posicao], estaNaJanelaCritica(): Bool, encerrar():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Controlar o preenchimento de uma unidade da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estado: EstadoPosicao, profissional: Profissional?, candidaturas: [Candidatura]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confirmar(_: Profissional) throws, reabrir(motivo: String):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perfil, elegibilidade e reputação de quem executa.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funcoes: [Funcao], raioKm: Double, pontoBase: Coordenada, disponibilidades: [Disponibilidade], taxaComparecimento: Double</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estaElegivel(para: Vaga): Bool, atualizarComparecimento(_: Turno):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contratante e sua equipe.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nome: String, endereco: Local, membros: [Membro], equipeConfianca: [Profissional]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publicar(_: Vaga) throws, priorizar(_: Profissional):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 a execução e os horários efetivos.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posicao: Posicao, inicioRegistrado: Date?, fimRegistrado: Date?, valorAcordadoCentavos: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registrarInicio(por: Ator): Void, registrarFim(por: Ator): Void, temDivergencia():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a resposta binária de um lado sobre o outro.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turno: Turno, autor: Ator, alvo: Ator, resposta: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aplicar():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Reputacao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Calcular e formatar o sinal de confiança exibido.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positivas: Int, total: Int, taxaComparecimento: Double, turnosConsiderados: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descricao(): String, temHistorico():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DespachoService</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Selecionar, ordenar e notificar os elegíveis em levas.</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Vaga, tamanhoLeva: Int, intervaloLeva: TimeInterval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elegiveis(): [Profissional], ordenar(_: [Profissional]): [Profissional], despacharProximaLeva()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NotificacaoService</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Enviar, acompanhar a entrega e reenviar notificações.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provedor: ProvedorPush, pendentes: [Despacho]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enviar(_: Despacho) async throws, confirmarEntrega(_: UUID): Void, reenviarFalhas()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ElegibilidadeSpec</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Isolar as regras de quem pode receber uma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raio: Double, exigeFuncao: Bool, exigeDisponibilidade: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satisfaz(_: Profissional, _: Vaga): Bool</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VagaRepository</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Persistir e consultar vagas, posições e candidaturas.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fonte: FonteDeDados</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salvar(_: Vaga) async throws, abertasProximas(de: Coordenada, raio: Double) async -&gt; [Vaga], confirmar(posicao: UUID, profissional: UUID) async throws</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PublicarVagaViewModel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tela de publicação e validar RN02.</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rascunho: RascunhoVaga, erros: [CampoInvalido], estado: EstadoTela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validar(): Bool, publicar() async, carregarDeVagaAnterior(_: UUID):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FeedVagasViewModel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lista de vagas e a candidatura do profissional.</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[Vaga], filtro: FiltroVagas, estado: EstadoTela</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candidatar(a: Posicao)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PainelOperacaoViewModel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visão de turnos em risco e as intervenções.</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emRisco: [Posicao], filtroJanela: TimeInterval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registrarIntervencao(_: Ocorrencia)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SessaoUsuario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identidade, perfil ativo e permissões.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 Usuario, perfilAtivo: Perfil, token: Token</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trocarPerfil(_: Perfil): Void, encerrar(): Void</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6.4 Arquitetura</w:t>
      </w:r>
    </w:p>
    <w:p>
      <w:pPr>
        <w:spacing w:before="0" w:after="100" w:line="264" w:lineRule="auto"/>
      </w:pPr>
      <w:r>
        <w:rPr>
          <w:rFonts w:ascii="SF Pro Display" w:hAnsi="SF Pro Display" w:cs="SF Pro Display"/>
          <w:color w:val="1A1A1A"/>
          <w:sz w:val="22"/>
          <w:szCs w:val="22"/>
        </w:rPr>
        <w:t xml:space="preserve">A arquitetura descrita aqui é a proposta de partida do grupo, não uma decisão ratificada. O único requisito técnico fechado no projeto é a existência de um aplicativo iOS nativo; a escolha entre nativo nas duas plataformas ou base compartilhada, e a stack do backend, permanecem em aberto. As camadas e a separação de responsabilidades abaixo valem independentemente dessa escolha. [H]</w:t>
      </w:r>
    </w:p>
    <w:p>
      <w:pPr>
        <w:spacing w:before="0" w:after="100" w:line="264" w:lineRule="auto"/>
      </w:pPr>
      <w:r>
        <w:rPr>
          <w:rFonts w:ascii="SF Pro Display" w:hAnsi="SF Pro Display" w:cs="SF Pro Display"/>
          <w:color w:val="1A1A1A"/>
          <w:sz w:val="22"/>
          <w:szCs w:val="22"/>
        </w:rPr>
        <w:t xml:space="preserve">As camadas previstas são quatro:</w:t>
      </w:r>
    </w:p>
    <w:p>
      <w:pPr>
        <w:ind w:left="240"/>
        <w:spacing w:before="0" w:after="60" w:line="264" w:lineRule="auto"/>
      </w:pPr>
      <w:r>
        <w:rPr>
          <w:rFonts w:ascii="SF Pro Display" w:hAnsi="SF Pro Display" w:cs="SF Pro Display"/>
          <w:color w:val="1A1A1A"/>
          <w:sz w:val="22"/>
          <w:szCs w:val="22"/>
        </w:rPr>
        <w:t xml:space="preserve">•  Apresentação: telas em SwiftUI e view models por funcionalidade, sem regra de negócio.</w:t>
      </w:r>
    </w:p>
    <w:p>
      <w:pPr>
        <w:ind w:left="240"/>
        <w:spacing w:before="0" w:after="60" w:line="264" w:lineRule="auto"/>
      </w:pPr>
      <w:r>
        <w:rPr>
          <w:rFonts w:ascii="SF Pro Display" w:hAnsi="SF Pro Display" w:cs="SF Pro Display"/>
          <w:color w:val="1A1A1A"/>
          <w:sz w:val="22"/>
          <w:szCs w:val="22"/>
        </w:rPr>
        <w:t xml:space="preserve">•  Domínio: entidades, especificações de elegibilidade e serviços de despacho e reputação. É a camada que precisa ser testável sem rede e sem interface.</w:t>
      </w:r>
    </w:p>
    <w:p>
      <w:pPr>
        <w:ind w:left="240"/>
        <w:spacing w:before="0" w:after="60" w:line="264" w:lineRule="auto"/>
      </w:pPr>
      <w:r>
        <w:rPr>
          <w:rFonts w:ascii="SF Pro Display" w:hAnsi="SF Pro Display" w:cs="SF Pro Display"/>
          <w:color w:val="1A1A1A"/>
          <w:sz w:val="22"/>
          <w:szCs w:val="22"/>
        </w:rPr>
        <w:t xml:space="preserve">•  Dados: repositórios, cliente de rede, cache local e fila de ações offline.</w:t>
      </w:r>
    </w:p>
    <w:p>
      <w:pPr>
        <w:ind w:left="240"/>
        <w:spacing w:before="0" w:after="60" w:line="264" w:lineRule="auto"/>
      </w:pPr>
      <w:r>
        <w:rPr>
          <w:rFonts w:ascii="SF Pro Display" w:hAnsi="SF Pro Display" w:cs="SF Pro Display"/>
          <w:color w:val="1A1A1A"/>
          <w:sz w:val="22"/>
          <w:szCs w:val="22"/>
        </w:rPr>
        <w:t xml:space="preserve">•  Infraestrutura: notificação push, geolocalização, mapa, keychain e telemetria.</w:t>
      </w:r>
    </w:p>
    <w:p>
      <w:pPr>
        <w:keepNext/>
        <w:spacing w:before="200" w:after="80" w:line="264" w:lineRule="auto"/>
      </w:pPr>
      <w:r>
        <w:rPr>
          <w:rFonts w:ascii="SF Pro Display" w:hAnsi="SF Pro Display" w:cs="SF Pro Display"/>
          <w:b/>
          <w:color w:val="1E6B3A"/>
          <w:sz w:val="24"/>
          <w:szCs w:val="24"/>
        </w:rPr>
        <w:t xml:space="preserve">Dependências e Pacotes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0"/>
        <w:gridCol w:w="5960"/>
      </w:tblGrid>
      <w:tr>
        <w:trPr>
          <w:tblHeader/>
        </w:trPr>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Pacote / Lib</w:t>
            </w:r>
          </w:p>
        </w:tc>
        <w:tc>
          <w:tcPr>
            <w:tcW w:w="59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Finalidade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SwiftUI</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Produção de telas nos aplicativos iOS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Concurrency (async/await, actors)</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Operações assíncronas e isolamento de estado no despacho e na sincronização</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CoreLocation</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Localização do usuário e cálculo de raio de elegibilidade</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MapKit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do local do turno e da distância até ele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UserNotifications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Recebimento e apresentação das notificações de vaga</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URLSession</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Comunicação com o backend</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Keychain Services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Armazenamento de credenciais e token de sessão</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SwiftData ou Core Data</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Cache local dos turnos confirmados e fila de ações offline, com a escolha ainda em aberto</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Testing / XCTest</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Testes de unidade das regras de domínio e de integração dos fluxos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Backend (stack a definir)</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Persistência, despacho, autenticação e envio de push. Pode ser serviço externo</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Diagrama de arquitetura</w:t>
      </w:r>
    </w:p>
    <w:p>
      <w:pPr>
        <w:jc w:val="center"/>
        <w:spacing w:before="0" w:after="40" w:line="264" w:lineRule="auto"/>
      </w:pPr>
      <w:r>
        <w:drawing>
          <wp:inline distT="0" distB="0" distL="0" distR="0">
            <wp:extent cx="5943600" cy="2653392"/>
            <wp:docPr id="9" name="Imagem 9" descr="Figura 9 — Contexto: atores e dependências externas"/>
            <a:graphic>
              <a:graphicData uri="http://schemas.openxmlformats.org/drawingml/2006/picture">
                <pic:pic>
                  <pic:nvPicPr>
                    <pic:cNvPr id="9" name="imagem9.png"/>
                    <pic:cNvPicPr/>
                  </pic:nvPicPr>
                  <pic:blipFill>
                    <a:blip r:embed="rIdImg9"/>
                    <a:stretch>
                      <a:fillRect/>
                    </a:stretch>
                  </pic:blipFill>
                  <pic:spPr>
                    <a:xfrm>
                      <a:off x="0" y="0"/>
                      <a:ext cx="5943600" cy="2653392"/>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9 — Contexto: atores e dependências externas</w:t>
      </w:r>
    </w:p>
    <w:p>
      <w:pPr>
        <w:jc w:val="center"/>
        <w:spacing w:before="0" w:after="40" w:line="264" w:lineRule="auto"/>
      </w:pPr>
      <w:r>
        <w:drawing>
          <wp:inline distT="0" distB="0" distL="0" distR="0">
            <wp:extent cx="5943600" cy="3223647"/>
            <wp:docPr id="10" name="Imagem 10" descr="Figura 10 — Contêineres: quatro clientes, uma API, o despacho em fila"/>
            <a:graphic>
              <a:graphicData uri="http://schemas.openxmlformats.org/drawingml/2006/picture">
                <pic:pic>
                  <pic:nvPicPr>
                    <pic:cNvPr id="10" name="imagem10.png"/>
                    <pic:cNvPicPr/>
                  </pic:nvPicPr>
                  <pic:blipFill>
                    <a:blip r:embed="rIdImg10"/>
                    <a:stretch>
                      <a:fillRect/>
                    </a:stretch>
                  </pic:blipFill>
                  <pic:spPr>
                    <a:xfrm>
                      <a:off x="0" y="0"/>
                      <a:ext cx="5943600" cy="322364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10 — Contêineres: quatro clientes, uma API, o despacho em fila</w:t>
      </w:r>
    </w:p>
    <w:p>
      <w:pPr>
        <w:jc w:val="center"/>
        <w:spacing w:before="0" w:after="40" w:line="264" w:lineRule="auto"/>
      </w:pPr>
      <w:r>
        <w:drawing>
          <wp:inline distT="0" distB="0" distL="0" distR="0">
            <wp:extent cx="5943600" cy="2921430"/>
            <wp:docPr id="11" name="Imagem 11" descr="Figura 11 — As duas estratégias para iOS, Android e web"/>
            <a:graphic>
              <a:graphicData uri="http://schemas.openxmlformats.org/drawingml/2006/picture">
                <pic:pic>
                  <pic:nvPicPr>
                    <pic:cNvPr id="11" name="imagem11.png"/>
                    <pic:cNvPicPr/>
                  </pic:nvPicPr>
                  <pic:blipFill>
                    <a:blip r:embed="rIdImg11"/>
                    <a:stretch>
                      <a:fillRect/>
                    </a:stretch>
                  </pic:blipFill>
                  <pic:spPr>
                    <a:xfrm>
                      <a:off x="0" y="0"/>
                      <a:ext cx="5943600" cy="292143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11 — As duas estratégias para iOS, Android e web</w:t>
      </w:r>
    </w:p>
    <w:p>
      <w:pPr>
        <w:jc w:val="center"/>
        <w:spacing w:before="0" w:after="40" w:line="264" w:lineRule="auto"/>
      </w:pPr>
      <w:r>
        <w:drawing>
          <wp:inline distT="0" distB="0" distL="0" distR="0">
            <wp:extent cx="5943600" cy="2971800"/>
            <wp:docPr id="12" name="Imagem 12" descr="Figura 12 — As quatro camadas dentro do aplicativo"/>
            <a:graphic>
              <a:graphicData uri="http://schemas.openxmlformats.org/drawingml/2006/picture">
                <pic:pic>
                  <pic:nvPicPr>
                    <pic:cNvPr id="12" name="imagem12.png"/>
                    <pic:cNvPicPr/>
                  </pic:nvPicPr>
                  <pic:blipFill>
                    <a:blip r:embed="rIdImg12"/>
                    <a:stretch>
                      <a:fillRect/>
                    </a:stretch>
                  </pic:blipFill>
                  <pic:spPr>
                    <a:xfrm>
                      <a:off x="0" y="0"/>
                      <a:ext cx="5943600" cy="29718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12 — As quatro camadas dentro do aplicativo</w:t>
      </w:r>
    </w:p>
    <w:p>
      <w:pPr>
        <w:jc w:val="center"/>
        <w:spacing w:before="0" w:after="40" w:line="264" w:lineRule="auto"/>
      </w:pPr>
      <w:r>
        <w:drawing>
          <wp:inline distT="0" distB="0" distL="0" distR="0">
            <wp:extent cx="5943600" cy="3525864"/>
            <wp:docPr id="13" name="Imagem 13" descr="Figura 13 — Da publicação à confirmação, com os prazos de cada etapa"/>
            <a:graphic>
              <a:graphicData uri="http://schemas.openxmlformats.org/drawingml/2006/picture">
                <pic:pic>
                  <pic:nvPicPr>
                    <pic:cNvPr id="13" name="imagem13.png"/>
                    <pic:cNvPicPr/>
                  </pic:nvPicPr>
                  <pic:blipFill>
                    <a:blip r:embed="rIdImg13"/>
                    <a:stretch>
                      <a:fillRect/>
                    </a:stretch>
                  </pic:blipFill>
                  <pic:spPr>
                    <a:xfrm>
                      <a:off x="0" y="0"/>
                      <a:ext cx="5943600" cy="352586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13 — Da publicação à confirmação, com os prazos de cada etapa</w:t>
      </w:r>
    </w:p>
    <w:p>
      <w:pPr>
        <w:keepNext/>
        <w:spacing w:before="200" w:after="80" w:line="264" w:lineRule="auto"/>
      </w:pPr>
      <w:r>
        <w:rPr>
          <w:rFonts w:ascii="SF Pro Display" w:hAnsi="SF Pro Display" w:cs="SF Pro Display"/>
          <w:b/>
          <w:color w:val="1E6B3A"/>
          <w:sz w:val="24"/>
          <w:szCs w:val="24"/>
        </w:rPr>
        <w:t xml:space="preserve">Módulo 1 (obrigatório)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Nome do Módulo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Frila-iOS, aplicativo do Profissional e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Padrão Arquitetural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com camada de domínio isolada (Clean Architecture enxuta)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é o padrão idiomático de SwiftUI e mantém as telas livres de regra de negócio. A camada de domínio separada é o ponto que importa neste produto: o despacho, a elegibilidade e a reputação são as regras que sustentam a tese inteira, e precisam ser testáveis sem interface, sem rede e sem simulador, inclusive porque vão mudar conforme a validação de campo corrigir as hipóteses. A separação também permite compartilhar o domínio com o cliente Android ou com a web caso a decisão de stack aponte para uma base comum.</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Linguagem / Framework</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e SwiftUI</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360"/>
      </w:tblGrid>
      <w:tr>
        <w:tc>
          <w:tcPr>
            <w:tcW w:w="93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18"/>
                <w:szCs w:val="18"/>
              </w:rPr>
              <w:t xml:space="preserve">Frila-iOS/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Sources/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Features/          # Publicação, Feed, Turno, Reputação, Perfil</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Domain/            # Entidades, ElegibilidadeSpec, DespachoService, Reputacao</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Data/              # Repositórios, cliente HTTP, cache e fila offline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Infra/             # Push, localização, keychain, telemetria</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UI/                # Componentes, tokens de estilo e acessibilidade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Tests/                 # Testes de domínio e de integração dos fluxos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Resources/             # Assets, strings pt-BR e configurações</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7. Documentação de Apoio</w:t>
      </w:r>
    </w:p>
    <w:p>
      <w:pPr>
        <w:keepNext/>
        <w:spacing w:before="280" w:after="120" w:line="264" w:lineRule="auto"/>
      </w:pPr>
      <w:r>
        <w:rPr>
          <w:rFonts w:ascii="SF Pro Display" w:hAnsi="SF Pro Display" w:cs="SF Pro Display"/>
          <w:b/>
          <w:color w:val="2FA84F"/>
          <w:sz w:val="30"/>
          <w:szCs w:val="30"/>
        </w:rPr>
        <w:t xml:space="preserve">7.1 Matriz de Rastreabilidade Completa</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00"/>
        <w:gridCol w:w="3160"/>
        <w:gridCol w:w="1900"/>
        <w:gridCol w:w="1900"/>
        <w:gridCol w:w="1600"/>
      </w:tblGrid>
      <w:tr>
        <w:trPr>
          <w:tblHeader/>
        </w:trPr>
        <w:tc>
          <w:tcPr>
            <w:tcW w:w="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RF</w:t>
            </w:r>
          </w:p>
        </w:tc>
        <w:tc>
          <w:tcPr>
            <w:tcW w:w="3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Resumida</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RN(s) Relacionadas</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RNF(s) Relacionados</w:t>
            </w:r>
          </w:p>
        </w:tc>
        <w:tc>
          <w:tcPr>
            <w:tcW w:w="16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UC(s) Relacionadas</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e autenticação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 RN15, RN20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 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do estabelecimento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Funções, raio e disponibilidade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 vaga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RN18</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Republicação de vaga anterior</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 ativo em levas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RNF03, RNF11</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Busca de vagas na região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RNF05</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em um toque</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e modo seleção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e notificação das partes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RN19</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RNF14</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Liberação do canal de contato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Lembrete pré-turno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início e fim do turno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com reabertura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UC08</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binária bidirecional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de reputação e comparecimento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 RNF10</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UC04, UC06</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externo herdado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de confiança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 de evento em lote</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RN18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RNF11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Painel de operação e janela crítica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Múltiplos usuários por estabelecimento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Histórico e exportação de turnos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RN17</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Suporte durante o turno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Consulta e contestação de suspensão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 UC08</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Exportação e exclusão de dados pessoais</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RN01 (não cobrar do profissional), RN09 (não processar pagamento) e RN20 (maioridade) não aparecem vinculadas a um único requisito porque são restrições de produto que valem sobre o sistema inteiro: a primeira e a segunda determinam o que não existe, e a terceira condiciona todo o cadastro. Elas são verificadas por ausência, já que nenhum fluxo pode introduzi-las, e não por um requisito específico que as implemente.</w:t>
      </w:r>
    </w:p>
    <w:sectPr>
      <w:footerReference w:type="default" r:id="rIdFooter"/>
      <w:pgSz w:w="11906" w:h="16838"/>
      <w:pgMar w:top="1134" w:right="1134" w:bottom="1134" w:left="1134" w:header="709" w:footer="709"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spacing w:before="0" w:after="0" w:line="264" w:lineRule="auto"/>
    </w:pPr>
    <w:r>
      <w:rPr>
        <w:rFonts w:ascii="SF Pro Display" w:hAnsi="SF Pro Display" w:cs="SF Pro Display"/>
        <w:color w:val="8C8C8C"/>
        <w:sz w:val="18"/>
        <w:szCs w:val="18"/>
      </w:rPr>
      <w:t xml:space="preserve">Página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PAGE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r>
      <w:rPr>
        <w:rFonts w:ascii="SF Pro Display" w:hAnsi="SF Pro Display" w:cs="SF Pro Display"/>
        <w:color w:val="8C8C8C"/>
        <w:sz w:val="18"/>
        <w:szCs w:val="18"/>
      </w:rPr>
      <w:t xml:space="preserve"> de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NUMPAGES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p>
</w:ftr>
</file>

<file path=word/styles.xml><?xml version="1.0" encoding="utf-8"?>
<w:styles xmlns:w="http://schemas.openxmlformats.org/wordprocessingml/2006/main">
  <w:docDefaults>
    <w:rPrDefault>
      <w:rPr>
        <w:rFonts w:ascii="SF Pro Display" w:hAnsi="SF Pro Display" w:cs="SF Pro Display"/>
        <w:sz w:val="22"/>
        <w:szCs w:val="22"/>
      </w:rPr>
    </w:rPrDefault>
    <w:pPrDefault>
      <w:pPr>
        <w:spacing w:after="8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m1.png"/><Relationship Id="rIdImg2" Type="http://schemas.openxmlformats.org/officeDocument/2006/relationships/image" Target="media/imagem2.png"/><Relationship Id="rIdImg3" Type="http://schemas.openxmlformats.org/officeDocument/2006/relationships/image" Target="media/imagem3.png"/><Relationship Id="rIdImg4" Type="http://schemas.openxmlformats.org/officeDocument/2006/relationships/image" Target="media/imagem4.png"/><Relationship Id="rIdImg5" Type="http://schemas.openxmlformats.org/officeDocument/2006/relationships/image" Target="media/imagem5.png"/><Relationship Id="rIdImg6" Type="http://schemas.openxmlformats.org/officeDocument/2006/relationships/image" Target="media/imagem6.png"/><Relationship Id="rIdImg7" Type="http://schemas.openxmlformats.org/officeDocument/2006/relationships/image" Target="media/imagem7.png"/><Relationship Id="rIdImg8" Type="http://schemas.openxmlformats.org/officeDocument/2006/relationships/image" Target="media/imagem8.png"/><Relationship Id="rIdImg9" Type="http://schemas.openxmlformats.org/officeDocument/2006/relationships/image" Target="media/imagem9.png"/><Relationship Id="rIdImg10" Type="http://schemas.openxmlformats.org/officeDocument/2006/relationships/image" Target="media/imagem10.png"/><Relationship Id="rIdImg11" Type="http://schemas.openxmlformats.org/officeDocument/2006/relationships/image" Target="media/imagem11.png"/><Relationship Id="rIdImg12" Type="http://schemas.openxmlformats.org/officeDocument/2006/relationships/image" Target="media/imagem12.png"/><Relationship Id="rIdImg13" Type="http://schemas.openxmlformats.org/officeDocument/2006/relationships/image" Target="media/imagem13.png"/></Relationships>
</file>