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Arial" w:cs="Arial" w:eastAsia="Arial" w:hAnsi="Arial"/>
          <w:b/>
          <w:bCs/>
          <w:sz w:val="20"/>
          <w:szCs w:val="20"/>
        </w:rPr>
        <w:t xml:space="preserve">SLAAO Imaging Pipeline</w:t>
      </w:r>
    </w:p>
    <w:p/>
    <w:p>
      <w:pPr>
        <w:spacing w:after="60" w:before="60"/>
      </w:pPr>
      <w:r>
        <w:rPr>
          <w:rFonts w:ascii="Arial" w:cs="Arial" w:eastAsia="Arial" w:hAnsi="Arial"/>
          <w:sz w:val="20"/>
          <w:szCs w:val="20"/>
        </w:rPr>
        <w:t xml:space="preserve">Pipeline Development Log &amp; Quality Control Framework</w:t>
      </w:r>
    </w:p>
    <w:p/>
    <w:p>
      <w:pPr>
        <w:spacing w:after="60" w:before="60"/>
      </w:pPr>
      <w:r>
        <w:rPr>
          <w:rFonts w:ascii="Arial" w:cs="Arial" w:eastAsia="Arial" w:hAnsi="Arial"/>
          <w:sz w:val="20"/>
          <w:szCs w:val="20"/>
        </w:rPr>
        <w:t xml:space="preserve">AI_CTA_Stroke Project  |  Western University  |  Version 1.0  |  March 2026</w:t>
      </w:r>
    </w:p>
    <w:p/>
    <w:p>
      <w:pPr>
        <w:pStyle w:val="Heading1"/>
        <w:spacing w:after="120" w:before="360"/>
      </w:pPr>
      <w:r>
        <w:rPr>
          <w:rFonts w:ascii="Arial" w:cs="Arial" w:eastAsia="Arial" w:hAnsi="Arial"/>
          <w:b/>
          <w:bCs/>
          <w:color w:val="0D47A1"/>
          <w:sz w:val="28"/>
          <w:szCs w:val="28"/>
        </w:rPr>
        <w:t xml:space="preserve">Overview</w:t>
      </w:r>
    </w:p>
    <w:p/>
    <w:p>
      <w:pPr>
        <w:spacing w:after="60" w:before="60"/>
      </w:pPr>
      <w:r>
        <w:rPr>
          <w:rFonts w:ascii="Arial" w:cs="Arial" w:eastAsia="Arial" w:hAnsi="Arial"/>
          <w:sz w:val="20"/>
          <w:szCs w:val="20"/>
        </w:rPr>
        <w:t xml:space="preserve">This document serves two purposes: (1) it records all iterative decisions made during pipeline development, providing a transparent audit trail for the Methods section; and (2) it defines the quality control (QC) framework applied to the final pipeline.</w:t>
      </w:r>
    </w:p>
    <w:p/>
    <w:p>
      <w:pPr>
        <w:spacing w:after="60" w:before="60"/>
      </w:pPr>
      <w:r>
        <w:rPr>
          <w:rFonts w:ascii="Arial" w:cs="Arial" w:eastAsia="Arial" w:hAnsi="Arial"/>
          <w:sz w:val="20"/>
          <w:szCs w:val="20"/>
        </w:rPr>
        <w:t xml:space="preserve">Pipeline development was performed iteratively on the full cohort through systematic quality control at each stage. Final analyses will be conducted after pipeline stabilization. This approach is appropriate because the refinements address technical properties of the acquisition pipeline, not the clinical variables of interest.</w:t>
      </w:r>
    </w:p>
    <w:p/>
    <w:p>
      <w:pPr>
        <w:pStyle w:val="Heading1"/>
        <w:spacing w:after="120" w:before="360"/>
      </w:pPr>
      <w:r>
        <w:rPr>
          <w:rFonts w:ascii="Arial" w:cs="Arial" w:eastAsia="Arial" w:hAnsi="Arial"/>
          <w:b/>
          <w:bCs/>
          <w:color w:val="0D47A1"/>
          <w:sz w:val="28"/>
          <w:szCs w:val="28"/>
        </w:rPr>
        <w:t xml:space="preserve">Part 1 — Pipeline Development Log</w:t>
      </w:r>
    </w:p>
    <w:p/>
    <w:p>
      <w:pPr>
        <w:spacing w:after="60" w:before="60"/>
      </w:pPr>
      <w:r>
        <w:rPr>
          <w:rFonts w:ascii="Arial" w:cs="Arial" w:eastAsia="Arial" w:hAnsi="Arial"/>
          <w:sz w:val="20"/>
          <w:szCs w:val="20"/>
        </w:rPr>
        <w:t xml:space="preserve">Each section below documents a pipeline stage: the initial approach, failure modes identified during QC, corrections applied, and the rationale for each decision.</w:t>
      </w:r>
    </w:p>
    <w:p/>
    <w:p>
      <w:pPr>
        <w:pStyle w:val="Heading2"/>
        <w:spacing w:after="80" w:before="240"/>
      </w:pPr>
      <w:r>
        <w:rPr>
          <w:rFonts w:ascii="Arial" w:cs="Arial" w:eastAsia="Arial" w:hAnsi="Arial"/>
          <w:b/>
          <w:bCs/>
          <w:color w:val="1565C0"/>
          <w:sz w:val="24"/>
          <w:szCs w:val="24"/>
        </w:rPr>
        <w:t xml:space="preserve">Stage 1 — DICOM → NIfTI Conversion</w:t>
      </w:r>
    </w:p>
    <w:p/>
    <w:p>
      <w:pPr>
        <w:spacing w:after="40" w:before="80"/>
      </w:pPr>
      <w:r>
        <w:rPr>
          <w:rFonts w:ascii="Arial" w:cs="Arial" w:eastAsia="Arial" w:hAnsi="Arial"/>
          <w:b/>
          <w:bCs/>
          <w:sz w:val="20"/>
          <w:szCs w:val="20"/>
        </w:rPr>
        <w:t xml:space="preserve">1.1  Classification Logic</w:t>
      </w:r>
    </w:p>
    <w:p/>
    <w:p>
      <w:pPr>
        <w:spacing w:after="60" w:before="60"/>
      </w:pPr>
      <w:r>
        <w:rPr>
          <w:rFonts w:ascii="Arial" w:cs="Arial" w:eastAsia="Arial" w:hAnsi="Arial"/>
          <w:sz w:val="20"/>
          <w:szCs w:val="20"/>
        </w:rPr>
        <w:t xml:space="preserve">CT type classification uses a three-step cascade:</w:t>
      </w:r>
    </w:p>
    <w:p/>
    <w:p>
      <w:pPr>
        <w:pStyle w:val="ListParagraph"/>
        <w:numPr>
          <w:ilvl w:val="0"/>
          <w:numId w:val="2"/>
        </w:numPr>
        <w:spacing w:after="40" w:before="40"/>
      </w:pPr>
      <w:r>
        <w:rPr>
          <w:rFonts w:ascii="Arial" w:cs="Arial" w:eastAsia="Arial" w:hAnsi="Arial"/>
          <w:sz w:val="20"/>
          <w:szCs w:val="20"/>
        </w:rPr>
        <w:t xml:space="preserve">Step 1 — Coverage hard exclusion: anatomical extent (coverage_mm = |z_max − z_min|) is computed from DICOM coordinates. If outside type-specific bounds, score is forced to 0 and type is disqualified. This filter is scanner-independent.</w:t>
      </w:r>
    </w:p>
    <w:p/>
    <w:p>
      <w:pPr>
        <w:pStyle w:val="ListParagraph"/>
        <w:numPr>
          <w:ilvl w:val="0"/>
          <w:numId w:val="2"/>
        </w:numPr>
        <w:spacing w:after="40" w:before="40"/>
      </w:pPr>
      <w:r>
        <w:rPr>
          <w:rFonts w:ascii="Arial" w:cs="Arial" w:eastAsia="Arial" w:hAnsi="Arial"/>
          <w:sz w:val="20"/>
          <w:szCs w:val="20"/>
        </w:rPr>
        <w:t xml:space="preserve">Step 2 — Keyword scoring: DICOM text fields are searched for type-specific terms. StudyDescription match → +150 pts; ProtocolName match → +80 pts; BodyPartExamined match → +50 pts. Minimum 50 pts required.</w:t>
      </w:r>
    </w:p>
    <w:p/>
    <w:p>
      <w:pPr>
        <w:pStyle w:val="ListParagraph"/>
        <w:numPr>
          <w:ilvl w:val="0"/>
          <w:numId w:val="2"/>
        </w:numPr>
        <w:spacing w:after="40" w:before="40"/>
      </w:pPr>
      <w:r>
        <w:rPr>
          <w:rFonts w:ascii="Arial" w:cs="Arial" w:eastAsia="Arial" w:hAnsi="Arial"/>
          <w:sz w:val="20"/>
          <w:szCs w:val="20"/>
        </w:rPr>
        <w:t xml:space="preserve">Step 3 — Highest-scoring qualified type wins.</w:t>
      </w:r>
    </w:p>
    <w:p/>
    <w:p>
      <w:pPr>
        <w:spacing w:after="40" w:before="80"/>
      </w:pPr>
      <w:r>
        <w:rPr>
          <w:rFonts w:ascii="Arial" w:cs="Arial" w:eastAsia="Arial" w:hAnsi="Arial"/>
          <w:b/>
          <w:bCs/>
          <w:sz w:val="20"/>
          <w:szCs w:val="20"/>
        </w:rPr>
        <w:t xml:space="preserve">1.2  Per-Type Coverage Thresholds — Final Values</w:t>
      </w:r>
    </w:p>
    <w:p/>
    <w:p/>
    <w:p>
      <w:pPr>
        <w:spacing w:after="40" w:before="80"/>
      </w:pPr>
      <w:r>
        <w:rPr>
          <w:rFonts w:ascii="Arial" w:cs="Arial" w:eastAsia="Arial" w:hAnsi="Arial"/>
          <w:b/>
          <w:bCs/>
          <w:sz w:val="20"/>
          <w:szCs w:val="20"/>
        </w:rPr>
        <w:t xml:space="preserve">1.3  Documented Fixes</w:t>
      </w:r>
    </w:p>
    <w:p/>
    <w:p>
      <w:pPr>
        <w:pStyle w:val="ListParagraph"/>
        <w:numPr>
          <w:ilvl w:val="0"/>
          <w:numId w:val="2"/>
        </w:numPr>
        <w:spacing w:after="40" w:before="40"/>
      </w:pPr>
      <w:r>
        <w:rPr>
          <w:rFonts w:ascii="Arial" w:cs="Arial" w:eastAsia="Arial" w:hAnsi="Arial"/>
          <w:sz w:val="20"/>
          <w:szCs w:val="20"/>
        </w:rPr>
        <w:t xml:space="preserve">Sagittal/coronal reformat bug: reformatted series caused false UNCLASSIFIED results → fixed by excluding reformat series from classification.</w:t>
      </w:r>
    </w:p>
    <w:p/>
    <w:p>
      <w:pPr>
        <w:pStyle w:val="ListParagraph"/>
        <w:numPr>
          <w:ilvl w:val="0"/>
          <w:numId w:val="2"/>
        </w:numPr>
        <w:spacing w:after="40" w:before="40"/>
      </w:pPr>
      <w:r>
        <w:rPr>
          <w:rFonts w:ascii="Arial" w:cs="Arial" w:eastAsia="Arial" w:hAnsi="Arial"/>
          <w:sz w:val="20"/>
          <w:szCs w:val="20"/>
        </w:rPr>
        <w:t xml:space="preserve">Best-export-wins logic: when a patient had multiple export folders of the same CT type, the most complete export (highest slice count) is selected; duplicates are discarded.</w:t>
      </w:r>
    </w:p>
    <w:p/>
    <w:p>
      <w:pPr>
        <w:pStyle w:val="ListParagraph"/>
        <w:numPr>
          <w:ilvl w:val="0"/>
          <w:numId w:val="2"/>
        </w:numPr>
        <w:spacing w:after="40" w:before="40"/>
      </w:pPr>
      <w:r>
        <w:rPr>
          <w:rFonts w:ascii="Arial" w:cs="Arial" w:eastAsia="Arial" w:hAnsi="Arial"/>
          <w:sz w:val="20"/>
          <w:szCs w:val="20"/>
        </w:rPr>
        <w:t xml:space="preserve">z_min absolute threshold rejected: initial proposal used absolute z_min to anchor eCTA at skull vertex. Rejected because z_min in ImagePositionPatient is scanner-isocenter-dependent, not anatomically fixed. Replaced by keyword-first, coverage-as-exclusion approach.</w:t>
      </w:r>
    </w:p>
    <w:p/>
    <w:p>
      <w:pPr>
        <w:pStyle w:val="ListParagraph"/>
        <w:numPr>
          <w:ilvl w:val="0"/>
          <w:numId w:val="2"/>
        </w:numPr>
        <w:spacing w:after="40" w:before="40"/>
      </w:pPr>
      <w:r>
        <w:rPr>
          <w:rFonts w:ascii="Arial" w:cs="Arial" w:eastAsia="Arial" w:hAnsi="Arial"/>
          <w:sz w:val="20"/>
          <w:szCs w:val="20"/>
        </w:rPr>
        <w:t xml:space="preserve">Patient ID preservation: sub-XXX IDs are derived strictly from source folder names, never auto-generated. Hard requirement for clinical record matching.</w:t>
      </w:r>
    </w:p>
    <w:p/>
    <w:p>
      <w:pPr>
        <w:spacing w:after="40" w:before="80"/>
      </w:pPr>
      <w:r>
        <w:rPr>
          <w:rFonts w:ascii="Arial" w:cs="Arial" w:eastAsia="Arial" w:hAnsi="Arial"/>
          <w:b/>
          <w:bCs/>
          <w:sz w:val="20"/>
          <w:szCs w:val="20"/>
        </w:rPr>
        <w:t xml:space="preserve">1.4  Multi-Run Cumulative Tracking</w:t>
      </w:r>
    </w:p>
    <w:p/>
    <w:p>
      <w:pPr>
        <w:spacing w:after="60" w:before="60"/>
      </w:pPr>
      <w:r>
        <w:rPr>
          <w:rFonts w:ascii="Arial" w:cs="Arial" w:eastAsia="Arial" w:hAnsi="Arial"/>
          <w:sz w:val="20"/>
          <w:szCs w:val="20"/>
        </w:rPr>
        <w:t xml:space="preserve">Six conversion batches were run across two DICOM disks (March 17–20, 2026). Each run produced a timestamped manifest (conversion_manifest_YYYYMMDD_HHMMSS.csv). The QC dashboard merges all manifests, deduplicates by subject_id (latest timestamp wins), and flags subjects present in logs but absent from disk as unresolved.</w:t>
      </w:r>
    </w:p>
    <w:p/>
    <w:p>
      <w:pPr>
        <w:pStyle w:val="Heading2"/>
        <w:spacing w:after="80" w:before="240"/>
      </w:pPr>
      <w:r>
        <w:rPr>
          <w:rFonts w:ascii="Arial" w:cs="Arial" w:eastAsia="Arial" w:hAnsi="Arial"/>
          <w:b/>
          <w:bCs/>
          <w:color w:val="1565C0"/>
          <w:sz w:val="24"/>
          <w:szCs w:val="24"/>
        </w:rPr>
        <w:t xml:space="preserve">Stage 2 — Defacing (eCTA only)</w:t>
      </w:r>
    </w:p>
    <w:p/>
    <w:p>
      <w:pPr>
        <w:spacing w:after="40" w:before="80"/>
      </w:pPr>
      <w:r>
        <w:rPr>
          <w:rFonts w:ascii="Arial" w:cs="Arial" w:eastAsia="Arial" w:hAnsi="Arial"/>
          <w:b/>
          <w:bCs/>
          <w:sz w:val="20"/>
          <w:szCs w:val="20"/>
        </w:rPr>
        <w:t xml:space="preserve">2.1  Tool Selection</w:t>
      </w:r>
    </w:p>
    <w:p/>
    <w:p>
      <w:pPr>
        <w:spacing w:after="60" w:before="60"/>
      </w:pPr>
      <w:r>
        <w:rPr>
          <w:rFonts w:ascii="Arial" w:cs="Arial" w:eastAsia="Arial" w:hAnsi="Arial"/>
          <w:sz w:val="20"/>
          <w:szCs w:val="20"/>
        </w:rPr>
        <w:t xml:space="preserve">CTA-DEFACE (nnUNet-based, CCI-Bonn) was selected over TotalSegmentator-based defacing because eCTA scans include intracranial structures that must be preserved. TotalSegmentator defacing removes skull and brain tissue, which would destroy clinically relevant information in stroke eCTA.</w:t>
      </w:r>
    </w:p>
    <w:p/>
    <w:p>
      <w:pPr>
        <w:spacing w:after="40" w:before="80"/>
      </w:pPr>
      <w:r>
        <w:rPr>
          <w:rFonts w:ascii="Arial" w:cs="Arial" w:eastAsia="Arial" w:hAnsi="Arial"/>
          <w:b/>
          <w:bCs/>
          <w:sz w:val="20"/>
          <w:szCs w:val="20"/>
        </w:rPr>
        <w:t xml:space="preserve">2.2  Documented Issues</w:t>
      </w:r>
    </w:p>
    <w:p/>
    <w:p>
      <w:pPr>
        <w:pStyle w:val="ListParagraph"/>
        <w:numPr>
          <w:ilvl w:val="0"/>
          <w:numId w:val="2"/>
        </w:numPr>
        <w:spacing w:after="40" w:before="40"/>
      </w:pPr>
      <w:r>
        <w:rPr>
          <w:rFonts w:ascii="Arial" w:cs="Arial" w:eastAsia="Arial" w:hAnsi="Arial"/>
          <w:sz w:val="20"/>
          <w:szCs w:val="20"/>
        </w:rPr>
        <w:t xml:space="preserve">RAM overflow: initial parameter -npp 2 caused memory exhaustion on the processing machine. Fixed by reducing to -npp 1.</w:t>
      </w:r>
    </w:p>
    <w:p/>
    <w:p>
      <w:pPr>
        <w:pStyle w:val="ListParagraph"/>
        <w:numPr>
          <w:ilvl w:val="0"/>
          <w:numId w:val="2"/>
        </w:numPr>
        <w:spacing w:after="40" w:before="40"/>
      </w:pPr>
      <w:r>
        <w:rPr>
          <w:rFonts w:ascii="Arial" w:cs="Arial" w:eastAsia="Arial" w:hAnsi="Arial"/>
          <w:sz w:val="20"/>
          <w:szCs w:val="20"/>
        </w:rPr>
        <w:t xml:space="preserve">60 cases with defacing failure: currently under investigation. Dashboard flags these as unresolved. Resolution will be documented here before pipeline finalization.</w:t>
      </w:r>
    </w:p>
    <w:p/>
    <w:p>
      <w:pPr>
        <w:spacing w:after="60" w:before="60"/>
      </w:pPr>
      <w:r>
        <w:rPr>
          <w:rFonts w:ascii="Arial" w:cs="Arial" w:eastAsia="Arial" w:hAnsi="Arial"/>
          <w:sz w:val="20"/>
          <w:szCs w:val="20"/>
        </w:rPr>
        <w:t xml:space="preserve">Status:</w:t>
      </w:r>
    </w:p>
    <w:p/>
    <w:p>
      <w:pPr>
        <w:spacing w:after="60" w:before="60"/>
      </w:pPr>
      <w:r>
        <w:rPr>
          <w:rFonts w:ascii="Arial" w:cs="Arial" w:eastAsia="Arial" w:hAnsi="Arial"/>
          <w:sz w:val="20"/>
          <w:szCs w:val="20"/>
        </w:rPr>
        <w:t xml:space="preserve">251 eCTA patients in cohort. 191 defaced successfully. 60 failures pending investigation. [To be updated]</w:t>
      </w:r>
    </w:p>
    <w:p/>
    <w:p>
      <w:pPr>
        <w:pStyle w:val="Heading2"/>
        <w:spacing w:after="80" w:before="240"/>
      </w:pPr>
      <w:r>
        <w:rPr>
          <w:rFonts w:ascii="Arial" w:cs="Arial" w:eastAsia="Arial" w:hAnsi="Arial"/>
          <w:b/>
          <w:bCs/>
          <w:color w:val="1565C0"/>
          <w:sz w:val="24"/>
          <w:szCs w:val="24"/>
        </w:rPr>
        <w:t xml:space="preserve">Stage 3 — Segmentation</w:t>
      </w:r>
    </w:p>
    <w:p/>
    <w:p>
      <w:pPr>
        <w:spacing w:after="40" w:before="80"/>
      </w:pPr>
      <w:r>
        <w:rPr>
          <w:rFonts w:ascii="Arial" w:cs="Arial" w:eastAsia="Arial" w:hAnsi="Arial"/>
          <w:b/>
          <w:bCs/>
          <w:sz w:val="20"/>
          <w:szCs w:val="20"/>
        </w:rPr>
        <w:t xml:space="preserve">3.1  Tool Selection — Rationale</w:t>
      </w:r>
    </w:p>
    <w:p/>
    <w:p/>
    <w:p>
      <w:pPr>
        <w:spacing w:after="40" w:before="80"/>
      </w:pPr>
      <w:r>
        <w:rPr>
          <w:rFonts w:ascii="Arial" w:cs="Arial" w:eastAsia="Arial" w:hAnsi="Arial"/>
          <w:b/>
          <w:bCs/>
          <w:sz w:val="20"/>
          <w:szCs w:val="20"/>
        </w:rPr>
        <w:t xml:space="preserve">3.2  NUDF Rejection — Documented Failure Modes</w:t>
      </w:r>
    </w:p>
    <w:p/>
    <w:p>
      <w:pPr>
        <w:spacing w:after="60" w:before="60"/>
      </w:pPr>
      <w:r>
        <w:rPr>
          <w:rFonts w:ascii="Arial" w:cs="Arial" w:eastAsia="Arial" w:hAnsi="Arial"/>
          <w:sz w:val="20"/>
          <w:szCs w:val="20"/>
        </w:rPr>
        <w:t xml:space="preserve">NUDF was the original LAA segmentation tool. After visual QC of approximately 30 cases in 3D Slicer, two distinct failure modes were identified:</w:t>
      </w:r>
    </w:p>
    <w:p/>
    <w:p>
      <w:pPr>
        <w:pStyle w:val="ListParagraph"/>
        <w:numPr>
          <w:ilvl w:val="0"/>
          <w:numId w:val="2"/>
        </w:numPr>
        <w:spacing w:after="40" w:before="40"/>
      </w:pPr>
      <w:r>
        <w:rPr>
          <w:rFonts w:ascii="Arial" w:cs="Arial" w:eastAsia="Arial" w:hAnsi="Arial"/>
          <w:sz w:val="20"/>
          <w:szCs w:val="20"/>
        </w:rPr>
        <w:t xml:space="preserve">Failure mode A (contrast phase confusion): in CT thorax, the pulmonary arterial phase causes NUDF to segment the pulmonary artery instead of the LAA, because PA attenuation exceeds LA attenuation in that phase.</w:t>
      </w:r>
    </w:p>
    <w:p/>
    <w:p>
      <w:pPr>
        <w:pStyle w:val="ListParagraph"/>
        <w:numPr>
          <w:ilvl w:val="0"/>
          <w:numId w:val="2"/>
        </w:numPr>
        <w:spacing w:after="40" w:before="40"/>
      </w:pPr>
      <w:r>
        <w:rPr>
          <w:rFonts w:ascii="Arial" w:cs="Arial" w:eastAsia="Arial" w:hAnsi="Arial"/>
          <w:sz w:val="20"/>
          <w:szCs w:val="20"/>
        </w:rPr>
        <w:t xml:space="preserve">Failure mode B (field-of-view truncation): in CT abdomen, the FOV does not include the heart, causing the NUDF cascade (TotalSegmentator CoM → 70 mm crop → NUDF inference) to fail at the localization step.</w:t>
      </w:r>
    </w:p>
    <w:p/>
    <w:p>
      <w:pPr>
        <w:pStyle w:val="ListParagraph"/>
        <w:numPr>
          <w:ilvl w:val="0"/>
          <w:numId w:val="2"/>
        </w:numPr>
        <w:spacing w:after="40" w:before="40"/>
      </w:pPr>
      <w:r>
        <w:rPr>
          <w:rFonts w:ascii="Arial" w:cs="Arial" w:eastAsia="Arial" w:hAnsi="Arial"/>
          <w:sz w:val="20"/>
          <w:szCs w:val="20"/>
        </w:rPr>
        <w:t xml:space="preserve">Root cause — cascade architecture: NUDF relies on TotalSegmentator to compute the LAA center of mass within a fixed 70 mm crop. Any upstream failure (wrong phase, FOV truncation, insufficient contrast) propagates silently to the final mask.</w:t>
      </w:r>
    </w:p>
    <w:p/>
    <w:p>
      <w:pPr>
        <w:spacing w:after="40" w:before="80"/>
      </w:pPr>
      <w:r>
        <w:rPr>
          <w:rFonts w:ascii="Arial" w:cs="Arial" w:eastAsia="Arial" w:hAnsi="Arial"/>
          <w:b/>
          <w:bCs/>
          <w:sz w:val="20"/>
          <w:szCs w:val="20"/>
        </w:rPr>
        <w:t xml:space="preserve">Conclusion: NUDF is reliable only for eCTA with correct cardiac FOV and adequate contrast. For all other CT types, VISTA3D + TotalSegmentator is used.</w:t>
      </w:r>
    </w:p>
    <w:p/>
    <w:p>
      <w:pPr>
        <w:spacing w:after="40" w:before="80"/>
      </w:pPr>
      <w:r>
        <w:rPr>
          <w:rFonts w:ascii="Arial" w:cs="Arial" w:eastAsia="Arial" w:hAnsi="Arial"/>
          <w:b/>
          <w:bCs/>
          <w:sz w:val="20"/>
          <w:szCs w:val="20"/>
        </w:rPr>
        <w:t xml:space="preserve">3.3  Quality Filters Applied</w:t>
      </w:r>
    </w:p>
    <w:p/>
    <w:p>
      <w:pPr>
        <w:pStyle w:val="ListParagraph"/>
        <w:numPr>
          <w:ilvl w:val="0"/>
          <w:numId w:val="2"/>
        </w:numPr>
        <w:spacing w:after="40" w:before="40"/>
      </w:pPr>
      <w:r>
        <w:rPr>
          <w:rFonts w:ascii="Arial" w:cs="Arial" w:eastAsia="Arial" w:hAnsi="Arial"/>
          <w:sz w:val="20"/>
          <w:szCs w:val="20"/>
        </w:rPr>
        <w:t xml:space="preserve">Minimum LAA mask size: ≥ 1000 voxels. Smaller masks indicate segmentation failure (VISTA3D produces spurious ~70-voxel fragments on abdominal CT where the heart is outside the FOV).</w:t>
      </w:r>
    </w:p>
    <w:p/>
    <w:p>
      <w:pPr>
        <w:pStyle w:val="ListParagraph"/>
        <w:numPr>
          <w:ilvl w:val="0"/>
          <w:numId w:val="2"/>
        </w:numPr>
        <w:spacing w:after="40" w:before="40"/>
      </w:pPr>
      <w:r>
        <w:rPr>
          <w:rFonts w:ascii="Arial" w:cs="Arial" w:eastAsia="Arial" w:hAnsi="Arial"/>
          <w:sz w:val="20"/>
          <w:szCs w:val="20"/>
        </w:rPr>
        <w:t xml:space="preserve">Maximum connected components: ≤ 3. More components indicate fragmented/spurious segmentation.</w:t>
      </w:r>
    </w:p>
    <w:p/>
    <w:p>
      <w:pPr>
        <w:pStyle w:val="ListParagraph"/>
        <w:numPr>
          <w:ilvl w:val="0"/>
          <w:numId w:val="2"/>
        </w:numPr>
        <w:spacing w:after="40" w:before="40"/>
      </w:pPr>
      <w:r>
        <w:rPr>
          <w:rFonts w:ascii="Arial" w:cs="Arial" w:eastAsia="Arial" w:hAnsi="Arial"/>
          <w:sz w:val="20"/>
          <w:szCs w:val="20"/>
        </w:rPr>
        <w:t xml:space="preserve">Phase selection: multi-phase scans require identification of the optimal contrast phase before segmentation. Currently under development — to be resolved with Sebastian before full-cohort run.</w:t>
      </w:r>
    </w:p>
    <w:p/>
    <w:p>
      <w:pPr>
        <w:pStyle w:val="Heading2"/>
        <w:spacing w:after="80" w:before="240"/>
      </w:pPr>
      <w:r>
        <w:rPr>
          <w:rFonts w:ascii="Arial" w:cs="Arial" w:eastAsia="Arial" w:hAnsi="Arial"/>
          <w:b/>
          <w:bCs/>
          <w:color w:val="1565C0"/>
          <w:sz w:val="24"/>
          <w:szCs w:val="24"/>
        </w:rPr>
        <w:t xml:space="preserve">Stage 4 — Radiomics</w:t>
      </w:r>
    </w:p>
    <w:p/>
    <w:p>
      <w:pPr>
        <w:spacing w:after="40" w:before="80"/>
      </w:pPr>
      <w:r>
        <w:rPr>
          <w:rFonts w:ascii="Arial" w:cs="Arial" w:eastAsia="Arial" w:hAnsi="Arial"/>
          <w:b/>
          <w:bCs/>
          <w:sz w:val="20"/>
          <w:szCs w:val="20"/>
        </w:rPr>
        <w:t xml:space="preserve">4.1  Feature Selection</w:t>
      </w:r>
    </w:p>
    <w:p/>
    <w:p>
      <w:pPr>
        <w:spacing w:after="60" w:before="60"/>
      </w:pPr>
      <w:r>
        <w:rPr>
          <w:rFonts w:ascii="Arial" w:cs="Arial" w:eastAsia="Arial" w:hAnsi="Arial"/>
          <w:sz w:val="20"/>
          <w:szCs w:val="20"/>
        </w:rPr>
        <w:t xml:space="preserve">Analysis is limited to first-order radiomic features (HU statistics). This is sufficient to define the three SLAAO subtypes, which are defined by HU-based ratios between anatomical compartments:</w:t>
      </w:r>
    </w:p>
    <w:p/>
    <w:p>
      <w:pPr>
        <w:pStyle w:val="ListParagraph"/>
        <w:numPr>
          <w:ilvl w:val="0"/>
          <w:numId w:val="2"/>
        </w:numPr>
        <w:spacing w:after="40" w:before="40"/>
      </w:pPr>
      <w:r>
        <w:rPr>
          <w:rFonts w:ascii="Arial" w:cs="Arial" w:eastAsia="Arial" w:hAnsi="Arial"/>
          <w:sz w:val="20"/>
          <w:szCs w:val="20"/>
        </w:rPr>
        <w:t xml:space="preserve">Type 1 (distal hypoattenuation): ratio HU-distal LAA / HU-proximal LAA</w:t>
      </w:r>
    </w:p>
    <w:p/>
    <w:p>
      <w:pPr>
        <w:pStyle w:val="ListParagraph"/>
        <w:numPr>
          <w:ilvl w:val="0"/>
          <w:numId w:val="2"/>
        </w:numPr>
        <w:spacing w:after="40" w:before="40"/>
      </w:pPr>
      <w:r>
        <w:rPr>
          <w:rFonts w:ascii="Arial" w:cs="Arial" w:eastAsia="Arial" w:hAnsi="Arial"/>
          <w:sz w:val="20"/>
          <w:szCs w:val="20"/>
        </w:rPr>
        <w:t xml:space="preserve">Type 2a (diffuse LAA hyperattenuation): ratio HU-LAA / HU-LA ≥ 1.15</w:t>
      </w:r>
    </w:p>
    <w:p/>
    <w:p>
      <w:pPr>
        <w:pStyle w:val="ListParagraph"/>
        <w:numPr>
          <w:ilvl w:val="0"/>
          <w:numId w:val="2"/>
        </w:numPr>
        <w:spacing w:after="40" w:before="40"/>
      </w:pPr>
      <w:r>
        <w:rPr>
          <w:rFonts w:ascii="Arial" w:cs="Arial" w:eastAsia="Arial" w:hAnsi="Arial"/>
          <w:sz w:val="20"/>
          <w:szCs w:val="20"/>
        </w:rPr>
        <w:t xml:space="preserve">Type 2b (silver lining peripheral rim): ratio HU-rim / HU-core ≥ 1.20</w:t>
      </w:r>
    </w:p>
    <w:p/>
    <w:p>
      <w:pPr>
        <w:spacing w:after="60" w:before="60"/>
      </w:pPr>
      <w:r>
        <w:rPr>
          <w:rFonts w:ascii="Arial" w:cs="Arial" w:eastAsia="Arial" w:hAnsi="Arial"/>
          <w:sz w:val="20"/>
          <w:szCs w:val="20"/>
        </w:rPr>
        <w:t xml:space="preserve">Phase correction is applied using the Ao/LA normalization ratio to account for contrast timing variability across acquisitions.</w:t>
      </w:r>
    </w:p>
    <w:p/>
    <w:p>
      <w:pPr>
        <w:spacing w:after="40" w:before="80"/>
      </w:pPr>
      <w:r>
        <w:rPr>
          <w:rFonts w:ascii="Arial" w:cs="Arial" w:eastAsia="Arial" w:hAnsi="Arial"/>
          <w:b/>
          <w:bCs/>
          <w:sz w:val="20"/>
          <w:szCs w:val="20"/>
        </w:rPr>
        <w:t xml:space="preserve">4.2  Documented Issue — Preprocessing Not Saved</w:t>
      </w:r>
    </w:p>
    <w:p/>
    <w:p>
      <w:pPr>
        <w:spacing w:after="60" w:before="60"/>
      </w:pPr>
      <w:r>
        <w:rPr>
          <w:rFonts w:ascii="Arial" w:cs="Arial" w:eastAsia="Arial" w:hAnsi="Arial"/>
          <w:sz w:val="20"/>
          <w:szCs w:val="20"/>
        </w:rPr>
        <w:t xml:space="preserve">During the first radiomics batch, preprocessing (resampling via SimpleITK BSpline) was performed entirely in memory. No intermediate files were saved to disk. When the batch needs to be re-run with additional feature classes, preprocessing must be repeated from scratch.</w:t>
      </w:r>
    </w:p>
    <w:p/>
    <w:p>
      <w:pPr>
        <w:spacing w:after="40" w:before="80"/>
      </w:pPr>
      <w:r>
        <w:rPr>
          <w:rFonts w:ascii="Arial" w:cs="Arial" w:eastAsia="Arial" w:hAnsi="Arial"/>
          <w:b/>
          <w:bCs/>
          <w:sz w:val="20"/>
          <w:szCs w:val="20"/>
        </w:rPr>
        <w:t xml:space="preserve">Corrective action: all future radiomics scripts must save preprocessed NIfTI files to disk before feature extraction begins (see CLAUDE.md checkpoint strategy).</w:t>
      </w:r>
    </w:p>
    <w:p/>
    <w:p>
      <w:pPr>
        <w:spacing w:after="40" w:before="80"/>
      </w:pPr>
      <w:r>
        <w:rPr>
          <w:rFonts w:ascii="Arial" w:cs="Arial" w:eastAsia="Arial" w:hAnsi="Arial"/>
          <w:b/>
          <w:bCs/>
          <w:sz w:val="20"/>
          <w:szCs w:val="20"/>
        </w:rPr>
        <w:t xml:space="preserve">4.3  Pyradiomics Batch QC — Results (March 2026)</w:t>
      </w:r>
    </w:p>
    <w:p/>
    <w:p>
      <w:pPr>
        <w:spacing w:after="60" w:before="60"/>
      </w:pPr>
      <w:r>
        <w:rPr>
          <w:rFonts w:ascii="Arial" w:cs="Arial" w:eastAsia="Arial" w:hAnsi="Arial"/>
          <w:sz w:val="20"/>
          <w:szCs w:val="20"/>
        </w:rPr>
        <w:t xml:space="preserve">A systematic QC of the pyradiomics output was performed on the first batch (n=290 cases: 187 eCTA, 94 CT_thorax, 9 CT_abdomen). Results are summarised below by check type.</w:t>
      </w:r>
    </w:p>
    <w:p/>
    <w:p>
      <w:pPr>
        <w:spacing w:after="40" w:before="80"/>
      </w:pPr>
      <w:r>
        <w:rPr>
          <w:rFonts w:ascii="Arial" w:cs="Arial" w:eastAsia="Arial" w:hAnsi="Arial"/>
          <w:b/>
          <w:bCs/>
          <w:sz w:val="20"/>
          <w:szCs w:val="20"/>
        </w:rPr>
        <w:t xml:space="preserve">Configuration and software consistency</w:t>
      </w:r>
    </w:p>
    <w:p/>
    <w:p>
      <w:pPr>
        <w:spacing w:after="60" w:before="60"/>
      </w:pPr>
      <w:r>
        <w:rPr>
          <w:rFonts w:ascii="Arial" w:cs="Arial" w:eastAsia="Arial" w:hAnsi="Arial"/>
          <w:sz w:val="20"/>
          <w:szCs w:val="20"/>
        </w:rPr>
        <w:t xml:space="preserve">All 290 cases share identical pyradiomics settings (resampledPixelSpacing [1.0, 1.0, 1.0] mm, interpolator sitkBSpline, binWidth 25 HU, Original image type only). Software versions are uniform across all cases: PyRadiomics v3.0.1, Python 3.10.20, SimpleITK 2.5.3. No configuration drift was detected.</w:t>
      </w:r>
    </w:p>
    <w:p/>
    <w:p>
      <w:pPr>
        <w:spacing w:after="40" w:before="80"/>
      </w:pPr>
      <w:r>
        <w:rPr>
          <w:rFonts w:ascii="Arial" w:cs="Arial" w:eastAsia="Arial" w:hAnsi="Arial"/>
          <w:b/>
          <w:bCs/>
          <w:sz w:val="20"/>
          <w:szCs w:val="20"/>
        </w:rPr>
        <w:t xml:space="preserve">Resampling verification</w:t>
      </w:r>
    </w:p>
    <w:p/>
    <w:p>
      <w:pPr>
        <w:spacing w:after="60" w:before="60"/>
      </w:pPr>
      <w:r>
        <w:rPr>
          <w:rFonts w:ascii="Arial" w:cs="Arial" w:eastAsia="Arial" w:hAnsi="Arial"/>
          <w:sz w:val="20"/>
          <w:szCs w:val="20"/>
        </w:rPr>
        <w:t xml:space="preserve">Resampling to isotropic 1×1×1 mm³ was confirmed for all cases (Image-interpolated_Spacing = (1.0, 1.0, 1.0) in all 290 records). Native spacing varied substantially across CT types (eCTA: ~0.5×0.5×0.25 mm; CT_thorax: ~0.8×0.8×1.25 mm; CT_abdomen: ~0.9×0.9×2.0 mm). After resampling, LAA volume was comparable between eCTA (median 8,960 mm³) and CT_thorax (median 8,837 mm³), confirming that the large differences in raw voxel count observed in pre-resampling roi_voxels are acquisition artefacts, not segmentation errors.</w:t>
      </w:r>
    </w:p>
    <w:p/>
    <w:p>
      <w:pPr>
        <w:spacing w:after="40" w:before="80"/>
      </w:pPr>
      <w:r>
        <w:rPr>
          <w:rFonts w:ascii="Arial" w:cs="Arial" w:eastAsia="Arial" w:hAnsi="Arial"/>
          <w:b/>
          <w:bCs/>
          <w:sz w:val="20"/>
          <w:szCs w:val="20"/>
        </w:rPr>
        <w:t xml:space="preserve">Mask integrity — connected components (VolumeNum)</w:t>
      </w:r>
    </w:p>
    <w:p/>
    <w:p>
      <w:pPr>
        <w:spacing w:after="60" w:before="60"/>
      </w:pPr>
      <w:r>
        <w:rPr>
          <w:rFonts w:ascii="Arial" w:cs="Arial" w:eastAsia="Arial" w:hAnsi="Arial"/>
          <w:sz w:val="20"/>
          <w:szCs w:val="20"/>
        </w:rPr>
        <w:t xml:space="preserve">34 cases showed aorta VolumeNum &gt; 1 (range 2–10), consistent with known aortic segmentation discontinuities. LA fragmentation was rare (4 cases, VolumeNum 2–5). LAA fragmentation was identified in 49 cases (VolumeNum 2–3) that were not flagged by the existing laa_status filter — pyradiomics computed features on these fragmented masks silently. These cases likely correspond to empty or near-empty LAA masks produced by the segmentation pipeline (confirmed by manual review in 3D Slicer). Action required: add MIN_LAA_VOXELS threshold in the segmentation pipeline analogous to the existing MIN_LA_VOXELS = 1000 check.</w:t>
      </w:r>
    </w:p>
    <w:p/>
    <w:p>
      <w:pPr>
        <w:spacing w:after="40" w:before="80"/>
      </w:pPr>
      <w:r>
        <w:rPr>
          <w:rFonts w:ascii="Arial" w:cs="Arial" w:eastAsia="Arial" w:hAnsi="Arial"/>
          <w:b/>
          <w:bCs/>
          <w:sz w:val="20"/>
          <w:szCs w:val="20"/>
        </w:rPr>
        <w:t xml:space="preserve">Missing values</w:t>
      </w:r>
    </w:p>
    <w:p/>
    <w:p>
      <w:pPr>
        <w:spacing w:after="60" w:before="60"/>
      </w:pPr>
      <w:r>
        <w:rPr>
          <w:rFonts w:ascii="Arial" w:cs="Arial" w:eastAsia="Arial" w:hAnsi="Arial"/>
          <w:sz w:val="20"/>
          <w:szCs w:val="20"/>
        </w:rPr>
        <w:t xml:space="preserve">Aorta and LA: zero missing values across all 290 cases. LAA: exactly 31 cases with all 18 first-order features as NaN, corresponding precisely to 28 skip_fragmented_laa + 3 skip_small_laa cases. No silent failures detected.</w:t>
      </w:r>
    </w:p>
    <w:p/>
    <w:p>
      <w:pPr>
        <w:spacing w:after="40" w:before="80"/>
      </w:pPr>
      <w:r>
        <w:rPr>
          <w:rFonts w:ascii="Arial" w:cs="Arial" w:eastAsia="Arial" w:hAnsi="Arial"/>
          <w:b/>
          <w:bCs/>
          <w:sz w:val="20"/>
          <w:szCs w:val="20"/>
        </w:rPr>
        <w:t xml:space="preserve">Raw feature values</w:t>
      </w:r>
    </w:p>
    <w:p/>
    <w:p>
      <w:pPr>
        <w:spacing w:after="60" w:before="60"/>
      </w:pPr>
      <w:r>
        <w:rPr>
          <w:rFonts w:ascii="Arial" w:cs="Arial" w:eastAsia="Arial" w:hAnsi="Arial"/>
          <w:sz w:val="20"/>
          <w:szCs w:val="20"/>
        </w:rPr>
        <w:t xml:space="preserve">Feature values in the original CSV output are physiologically plausible (LAA Mean ~317 HU, LA Mean ~405 HU, Aorta Mean ~390 HU for a representative eCTA case). An apparent scaling artefact (values ~10¹5) observed in the Excel-converted file was traced to pandas dtype misassignment during Excel parsing and is not present in the source CSV. All downstream analyses must use the CSV output directly.</w:t>
      </w:r>
    </w:p>
    <w:p/>
    <w:p>
      <w:pPr>
        <w:spacing w:after="40" w:before="80"/>
      </w:pPr>
      <w:r>
        <w:rPr>
          <w:rFonts w:ascii="Arial" w:cs="Arial" w:eastAsia="Arial" w:hAnsi="Arial"/>
          <w:b/>
          <w:bCs/>
          <w:sz w:val="20"/>
          <w:szCs w:val="20"/>
        </w:rPr>
        <w:t xml:space="preserve">Volumetric thresholds for mask QC flags</w:t>
      </w:r>
    </w:p>
    <w:p/>
    <w:p>
      <w:pPr>
        <w:spacing w:after="60" w:before="60"/>
      </w:pPr>
      <w:r>
        <w:rPr>
          <w:rFonts w:ascii="Arial" w:cs="Arial" w:eastAsia="Arial" w:hAnsi="Arial"/>
          <w:sz w:val="20"/>
          <w:szCs w:val="20"/>
        </w:rPr>
        <w:t xml:space="preserve">The following thresholds, based on published reference values for cardiac CT, were defined to flag cases for visual review. Thresholds are applied to the interpolated mask volume (Mask-interpolated_VoxelNum, equivalent to mm³ after 1×1×1 mm resampling). Hard flags indicate anatomically impossible values and warrant automatic exclusion from analysis. Soft flags indicate potentially reduced but plausible segmentations and require visual confirmation.</w:t>
      </w:r>
    </w:p>
    <w:p/>
    <w:p>
      <w:pPr>
        <w:spacing w:after="60" w:before="60"/>
      </w:pPr>
      <w:r>
        <w:rPr>
          <w:rFonts w:ascii="Arial" w:cs="Arial" w:eastAsia="Arial" w:hAnsi="Arial"/>
          <w:sz w:val="20"/>
          <w:szCs w:val="20"/>
        </w:rPr>
        <w:t xml:space="preserve">Reference values: LAA normal volume ~9,000 mm³ (range 5,000–15,000 mm³) based on CT analysis of 612 individuals (StatPearls, NBK553218); LA normal volume 50,000–100,000 mm³ based on ECG-gated cardiac CT reference ranges (Fayad et al., EACVI/EHRA consensus, Eur Heart J Cardiovasc Imaging 2025;26:385–413).</w:t>
      </w:r>
    </w:p>
    <w:p/>
    <w:p/>
    <w:p>
      <w:pPr>
        <w:spacing w:after="40" w:before="80"/>
      </w:pPr>
      <w:r>
        <w:rPr>
          <w:rFonts w:ascii="Arial" w:cs="Arial" w:eastAsia="Arial" w:hAnsi="Arial"/>
          <w:b/>
          <w:bCs/>
          <w:sz w:val="20"/>
          <w:szCs w:val="20"/>
        </w:rPr>
        <w:t xml:space="preserve">HU physiological direction check</w:t>
      </w:r>
    </w:p>
    <w:p/>
    <w:p>
      <w:pPr>
        <w:spacing w:after="60" w:before="60"/>
      </w:pPr>
      <w:r>
        <w:rPr>
          <w:rFonts w:ascii="Arial" w:cs="Arial" w:eastAsia="Arial" w:hAnsi="Arial"/>
          <w:sz w:val="20"/>
          <w:szCs w:val="20"/>
        </w:rPr>
        <w:t xml:space="preserve">244/245 valid cases (99.6%) showed HU-LAA &lt; HU-LA, consistent with the expected physiological direction of reduced LAA opacification relative to LA. One case (sub-25, CT_thorax, ratio 1.20) showed inversion and is flagged for visual review. LA/Aorta HU ratio (internal phase-correction check): median 1.0 in eCTA and 1.1 in CT_thorax, with the majority of cases within the acceptable range 0.8–1.2, confirming that LA and Aorta are sampled in the same contrast phase within each patient. LAA/LA median HU ratio: eCTA median 0.657 (n=159), CT_thorax median 0.732 (n=91). CT_thorax shows higher ratio and greater variability, consistent with heterogeneous contrast timing in non-dedicated cardiac acquisitions.</w:t>
      </w:r>
    </w:p>
    <w:p/>
    <w:p>
      <w:pPr>
        <w:pStyle w:val="Heading1"/>
        <w:spacing w:after="120" w:before="360"/>
      </w:pPr>
      <w:r>
        <w:rPr>
          <w:rFonts w:ascii="Arial" w:cs="Arial" w:eastAsia="Arial" w:hAnsi="Arial"/>
          <w:b/>
          <w:bCs/>
          <w:color w:val="0D47A1"/>
          <w:sz w:val="28"/>
          <w:szCs w:val="28"/>
        </w:rPr>
        <w:t xml:space="preserve">Part 2 — Quality Control Framework</w:t>
      </w:r>
    </w:p>
    <w:p/>
    <w:p>
      <w:pPr>
        <w:spacing w:after="60" w:before="60"/>
      </w:pPr>
      <w:r>
        <w:rPr>
          <w:rFonts w:ascii="Arial" w:cs="Arial" w:eastAsia="Arial" w:hAnsi="Arial"/>
          <w:sz w:val="20"/>
          <w:szCs w:val="20"/>
        </w:rPr>
        <w:t xml:space="preserve">QC is organized in three levels of increasing complexity and resource cost. Levels 1 and 2 are required for all subjects. Level 3 is applied to a representative subset for publication.</w:t>
      </w:r>
    </w:p>
    <w:p/>
    <w:p>
      <w:pPr>
        <w:pStyle w:val="Heading2"/>
        <w:spacing w:after="80" w:before="240"/>
      </w:pPr>
      <w:r>
        <w:rPr>
          <w:rFonts w:ascii="Arial" w:cs="Arial" w:eastAsia="Arial" w:hAnsi="Arial"/>
          <w:b/>
          <w:bCs/>
          <w:color w:val="1565C0"/>
          <w:sz w:val="24"/>
          <w:szCs w:val="24"/>
        </w:rPr>
        <w:t xml:space="preserve">Level 1 — Automated QC (all subjects)</w:t>
      </w:r>
    </w:p>
    <w:p/>
    <w:p>
      <w:pPr>
        <w:spacing w:after="60" w:before="60"/>
      </w:pPr>
      <w:r>
        <w:rPr>
          <w:rFonts w:ascii="Arial" w:cs="Arial" w:eastAsia="Arial" w:hAnsi="Arial"/>
          <w:sz w:val="20"/>
          <w:szCs w:val="20"/>
        </w:rPr>
        <w:t xml:space="preserve">Objective criteria computed without human review:</w:t>
      </w:r>
    </w:p>
    <w:p/>
    <w:p/>
    <w:p>
      <w:pPr>
        <w:pStyle w:val="Heading2"/>
        <w:spacing w:after="80" w:before="240"/>
      </w:pPr>
      <w:r>
        <w:rPr>
          <w:rFonts w:ascii="Arial" w:cs="Arial" w:eastAsia="Arial" w:hAnsi="Arial"/>
          <w:b/>
          <w:bCs/>
          <w:color w:val="1565C0"/>
          <w:sz w:val="24"/>
          <w:szCs w:val="24"/>
        </w:rPr>
        <w:t xml:space="preserve">Level 2 — Systematic Visual QC (representative subset)</w:t>
      </w:r>
    </w:p>
    <w:p/>
    <w:p>
      <w:pPr>
        <w:spacing w:after="60" w:before="60"/>
      </w:pPr>
      <w:r>
        <w:rPr>
          <w:rFonts w:ascii="Arial" w:cs="Arial" w:eastAsia="Arial" w:hAnsi="Arial"/>
          <w:sz w:val="20"/>
          <w:szCs w:val="20"/>
        </w:rPr>
        <w:t xml:space="preserve">Visual inspection in 3D Slicer by two independent reviewers (Federica + one cardiologist, TBD). Cases are loaded as: original CT scan as Volume + LAA/LA/Ao masks as Segmentation.</w:t>
      </w:r>
    </w:p>
    <w:p/>
    <w:p>
      <w:pPr>
        <w:spacing w:after="40" w:before="80"/>
      </w:pPr>
      <w:r>
        <w:rPr>
          <w:rFonts w:ascii="Arial" w:cs="Arial" w:eastAsia="Arial" w:hAnsi="Arial"/>
          <w:b/>
          <w:bCs/>
          <w:sz w:val="20"/>
          <w:szCs w:val="20"/>
        </w:rPr>
        <w:t xml:space="preserve">Criteria to be evaluated:</w:t>
      </w:r>
    </w:p>
    <w:p/>
    <w:p>
      <w:pPr>
        <w:pStyle w:val="ListParagraph"/>
        <w:numPr>
          <w:ilvl w:val="0"/>
          <w:numId w:val="2"/>
        </w:numPr>
        <w:spacing w:after="40" w:before="40"/>
      </w:pPr>
      <w:r>
        <w:rPr>
          <w:rFonts w:ascii="Arial" w:cs="Arial" w:eastAsia="Arial" w:hAnsi="Arial"/>
          <w:sz w:val="20"/>
          <w:szCs w:val="20"/>
        </w:rPr>
        <w:t xml:space="preserve">LAA mask: covers the full LAA appendage without truncation at the ostium</w:t>
      </w:r>
    </w:p>
    <w:p/>
    <w:p>
      <w:pPr>
        <w:pStyle w:val="ListParagraph"/>
        <w:numPr>
          <w:ilvl w:val="0"/>
          <w:numId w:val="2"/>
        </w:numPr>
        <w:spacing w:after="40" w:before="40"/>
      </w:pPr>
      <w:r>
        <w:rPr>
          <w:rFonts w:ascii="Arial" w:cs="Arial" w:eastAsia="Arial" w:hAnsi="Arial"/>
          <w:sz w:val="20"/>
          <w:szCs w:val="20"/>
        </w:rPr>
        <w:t xml:space="preserve">LAA mask: no spillover into left atrium, pulmonary veins, or myocardium</w:t>
      </w:r>
    </w:p>
    <w:p/>
    <w:p>
      <w:pPr>
        <w:pStyle w:val="ListParagraph"/>
        <w:numPr>
          <w:ilvl w:val="0"/>
          <w:numId w:val="2"/>
        </w:numPr>
        <w:spacing w:after="40" w:before="40"/>
      </w:pPr>
      <w:r>
        <w:rPr>
          <w:rFonts w:ascii="Arial" w:cs="Arial" w:eastAsia="Arial" w:hAnsi="Arial"/>
          <w:sz w:val="20"/>
          <w:szCs w:val="20"/>
        </w:rPr>
        <w:t xml:space="preserve">LA mask: complete atrial body included</w:t>
      </w:r>
    </w:p>
    <w:p/>
    <w:p>
      <w:pPr>
        <w:pStyle w:val="ListParagraph"/>
        <w:numPr>
          <w:ilvl w:val="0"/>
          <w:numId w:val="2"/>
        </w:numPr>
        <w:spacing w:after="40" w:before="40"/>
      </w:pPr>
      <w:r>
        <w:rPr>
          <w:rFonts w:ascii="Arial" w:cs="Arial" w:eastAsia="Arial" w:hAnsi="Arial"/>
          <w:sz w:val="20"/>
          <w:szCs w:val="20"/>
        </w:rPr>
        <w:t xml:space="preserve">Ao mask: ascending aorta root visible and included</w:t>
      </w:r>
    </w:p>
    <w:p/>
    <w:p>
      <w:pPr>
        <w:pStyle w:val="ListParagraph"/>
        <w:numPr>
          <w:ilvl w:val="0"/>
          <w:numId w:val="2"/>
        </w:numPr>
        <w:spacing w:after="40" w:before="40"/>
      </w:pPr>
      <w:r>
        <w:rPr>
          <w:rFonts w:ascii="Arial" w:cs="Arial" w:eastAsia="Arial" w:hAnsi="Arial"/>
          <w:sz w:val="20"/>
          <w:szCs w:val="20"/>
        </w:rPr>
        <w:t xml:space="preserve">Overall anatomical plausibility of all three structures</w:t>
      </w:r>
    </w:p>
    <w:p/>
    <w:p>
      <w:pPr>
        <w:spacing w:after="40" w:before="80"/>
      </w:pPr>
      <w:r>
        <w:rPr>
          <w:rFonts w:ascii="Arial" w:cs="Arial" w:eastAsia="Arial" w:hAnsi="Arial"/>
          <w:b/>
          <w:bCs/>
          <w:sz w:val="20"/>
          <w:szCs w:val="20"/>
        </w:rPr>
        <w:t xml:space="preserve">Recording:</w:t>
      </w:r>
    </w:p>
    <w:p/>
    <w:p>
      <w:pPr>
        <w:spacing w:after="60" w:before="60"/>
      </w:pPr>
      <w:r>
        <w:rPr>
          <w:rFonts w:ascii="Arial" w:cs="Arial" w:eastAsia="Arial" w:hAnsi="Arial"/>
          <w:sz w:val="20"/>
          <w:szCs w:val="20"/>
        </w:rPr>
        <w:t xml:space="preserve">Results are recorded in the QC dashboard (dashboard.html) per reviewer. Each case receives:</w:t>
      </w:r>
    </w:p>
    <w:p/>
    <w:p>
      <w:pPr>
        <w:pStyle w:val="ListParagraph"/>
        <w:numPr>
          <w:ilvl w:val="0"/>
          <w:numId w:val="2"/>
        </w:numPr>
        <w:spacing w:after="40" w:before="40"/>
      </w:pPr>
      <w:r>
        <w:rPr>
          <w:rFonts w:ascii="Arial" w:cs="Arial" w:eastAsia="Arial" w:hAnsi="Arial"/>
          <w:sz w:val="20"/>
          <w:szCs w:val="20"/>
        </w:rPr>
        <w:t xml:space="preserve">revised: checkbox (reviewed Y/N)</w:t>
      </w:r>
    </w:p>
    <w:p/>
    <w:p>
      <w:pPr>
        <w:pStyle w:val="ListParagraph"/>
        <w:numPr>
          <w:ilvl w:val="0"/>
          <w:numId w:val="2"/>
        </w:numPr>
        <w:spacing w:after="40" w:before="40"/>
      </w:pPr>
      <w:r>
        <w:rPr>
          <w:rFonts w:ascii="Arial" w:cs="Arial" w:eastAsia="Arial" w:hAnsi="Arial"/>
          <w:sz w:val="20"/>
          <w:szCs w:val="20"/>
        </w:rPr>
        <w:t xml:space="preserve">status: fixed / not fixable / pending</w:t>
      </w:r>
    </w:p>
    <w:p/>
    <w:p>
      <w:pPr>
        <w:pStyle w:val="ListParagraph"/>
        <w:numPr>
          <w:ilvl w:val="0"/>
          <w:numId w:val="2"/>
        </w:numPr>
        <w:spacing w:after="40" w:before="40"/>
      </w:pPr>
      <w:r>
        <w:rPr>
          <w:rFonts w:ascii="Arial" w:cs="Arial" w:eastAsia="Arial" w:hAnsi="Arial"/>
          <w:sz w:val="20"/>
          <w:szCs w:val="20"/>
        </w:rPr>
        <w:t xml:space="preserve">comments: free text</w:t>
      </w:r>
    </w:p>
    <w:p/>
    <w:p>
      <w:pPr>
        <w:spacing w:after="60" w:before="60"/>
      </w:pPr>
      <w:r>
        <w:rPr>
          <w:rFonts w:ascii="Arial" w:cs="Arial" w:eastAsia="Arial" w:hAnsi="Arial"/>
          <w:sz w:val="20"/>
          <w:szCs w:val="20"/>
        </w:rPr>
        <w:t xml:space="preserve">Inter-rater agreement will be assessed. Cases rated 'not fixable' by both reviewers are excluded from final analysis with documented reason.</w:t>
      </w:r>
    </w:p>
    <w:p/>
    <w:p>
      <w:pPr>
        <w:spacing w:after="60" w:before="60"/>
      </w:pPr>
      <w:r>
        <w:rPr>
          <w:rFonts w:ascii="Arial" w:cs="Arial" w:eastAsia="Arial" w:hAnsi="Arial"/>
          <w:sz w:val="20"/>
          <w:szCs w:val="20"/>
        </w:rPr>
        <w:t xml:space="preserve">Criteria are currently defined by visual inspection only. No manual segmentation reference standard has been created. If a Dice score-based validation is required for publication, proceed to Level 3.</w:t>
      </w:r>
    </w:p>
    <w:p/>
    <w:p>
      <w:pPr>
        <w:pStyle w:val="Heading2"/>
        <w:spacing w:after="80" w:before="240"/>
      </w:pPr>
      <w:r>
        <w:rPr>
          <w:rFonts w:ascii="Arial" w:cs="Arial" w:eastAsia="Arial" w:hAnsi="Arial"/>
          <w:b/>
          <w:bCs/>
          <w:color w:val="1565C0"/>
          <w:sz w:val="24"/>
          <w:szCs w:val="24"/>
        </w:rPr>
        <w:t xml:space="preserve">Level 3 — Quantitative Validation (publication subset, optional)</w:t>
      </w:r>
    </w:p>
    <w:p/>
    <w:p>
      <w:pPr>
        <w:spacing w:after="60" w:before="60"/>
      </w:pPr>
      <w:r>
        <w:rPr>
          <w:rFonts w:ascii="Arial" w:cs="Arial" w:eastAsia="Arial" w:hAnsi="Arial"/>
          <w:sz w:val="20"/>
          <w:szCs w:val="20"/>
        </w:rPr>
        <w:t xml:space="preserve">A representative subset of cases (target: 20–30, stratified by CT type) will receive manual LAA segmentation in 3D Slicer as ground truth. Dice score will be computed between automatic and manual segmentations.</w:t>
      </w:r>
    </w:p>
    <w:p/>
    <w:p>
      <w:pPr>
        <w:pStyle w:val="ListParagraph"/>
        <w:numPr>
          <w:ilvl w:val="0"/>
          <w:numId w:val="2"/>
        </w:numPr>
        <w:spacing w:after="40" w:before="40"/>
      </w:pPr>
      <w:r>
        <w:rPr>
          <w:rFonts w:ascii="Arial" w:cs="Arial" w:eastAsia="Arial" w:hAnsi="Arial"/>
          <w:sz w:val="20"/>
          <w:szCs w:val="20"/>
        </w:rPr>
        <w:t xml:space="preserve">Geometric validation: Dice score (volumetric overlap)</w:t>
      </w:r>
    </w:p>
    <w:p/>
    <w:p>
      <w:pPr>
        <w:pStyle w:val="ListParagraph"/>
        <w:numPr>
          <w:ilvl w:val="0"/>
          <w:numId w:val="2"/>
        </w:numPr>
        <w:spacing w:after="40" w:before="40"/>
      </w:pPr>
      <w:r>
        <w:rPr>
          <w:rFonts w:ascii="Arial" w:cs="Arial" w:eastAsia="Arial" w:hAnsi="Arial"/>
          <w:sz w:val="20"/>
          <w:szCs w:val="20"/>
        </w:rPr>
        <w:t xml:space="preserve">Functional validation: Bland-Altman plot of HU ratios (automatic vs manual ROI)</w:t>
      </w:r>
    </w:p>
    <w:p/>
    <w:p>
      <w:pPr>
        <w:spacing w:after="60" w:before="60"/>
      </w:pPr>
      <w:r>
        <w:rPr>
          <w:rFonts w:ascii="Arial" w:cs="Arial" w:eastAsia="Arial" w:hAnsi="Arial"/>
          <w:sz w:val="20"/>
          <w:szCs w:val="20"/>
        </w:rPr>
        <w:t xml:space="preserve">This level is deferred pending pipeline stabilization.</w:t>
      </w:r>
    </w:p>
    <w:p/>
    <w:p>
      <w:pPr>
        <w:pStyle w:val="Heading1"/>
        <w:spacing w:after="120" w:before="360"/>
      </w:pPr>
      <w:r>
        <w:rPr>
          <w:rFonts w:ascii="Arial" w:cs="Arial" w:eastAsia="Arial" w:hAnsi="Arial"/>
          <w:b/>
          <w:bCs/>
          <w:color w:val="0D47A1"/>
          <w:sz w:val="28"/>
          <w:szCs w:val="28"/>
        </w:rPr>
        <w:t xml:space="preserve">Part 3 — Pipeline Validation (to be completed)</w:t>
      </w:r>
    </w:p>
    <w:p/>
    <w:p>
      <w:pPr>
        <w:spacing w:after="60" w:before="60"/>
      </w:pPr>
      <w:r>
        <w:rPr>
          <w:rFonts w:ascii="Arial" w:cs="Arial" w:eastAsia="Arial" w:hAnsi="Arial"/>
          <w:sz w:val="20"/>
          <w:szCs w:val="20"/>
        </w:rPr>
        <w:t xml:space="preserve">This section will document the final pipeline applied to the full cohort after stabilization. It will include:</w:t>
      </w:r>
    </w:p>
    <w:p/>
    <w:p>
      <w:pPr>
        <w:pStyle w:val="ListParagraph"/>
        <w:numPr>
          <w:ilvl w:val="0"/>
          <w:numId w:val="2"/>
        </w:numPr>
        <w:spacing w:after="40" w:before="40"/>
      </w:pPr>
      <w:r>
        <w:rPr>
          <w:rFonts w:ascii="Arial" w:cs="Arial" w:eastAsia="Arial" w:hAnsi="Arial"/>
          <w:sz w:val="20"/>
          <w:szCs w:val="20"/>
        </w:rPr>
        <w:t xml:space="preserve">Total number of subjects screened vs converted vs segmented vs radiomics-extracted</w:t>
      </w:r>
    </w:p>
    <w:p/>
    <w:p>
      <w:pPr>
        <w:pStyle w:val="ListParagraph"/>
        <w:numPr>
          <w:ilvl w:val="0"/>
          <w:numId w:val="2"/>
        </w:numPr>
        <w:spacing w:after="40" w:before="40"/>
      </w:pPr>
      <w:r>
        <w:rPr>
          <w:rFonts w:ascii="Arial" w:cs="Arial" w:eastAsia="Arial" w:hAnsi="Arial"/>
          <w:sz w:val="20"/>
          <w:szCs w:val="20"/>
        </w:rPr>
        <w:t xml:space="preserve">Exclusion counts and reasons at each stage</w:t>
      </w:r>
    </w:p>
    <w:p/>
    <w:p>
      <w:pPr>
        <w:pStyle w:val="ListParagraph"/>
        <w:numPr>
          <w:ilvl w:val="0"/>
          <w:numId w:val="2"/>
        </w:numPr>
        <w:spacing w:after="40" w:before="40"/>
      </w:pPr>
      <w:r>
        <w:rPr>
          <w:rFonts w:ascii="Arial" w:cs="Arial" w:eastAsia="Arial" w:hAnsi="Arial"/>
          <w:sz w:val="20"/>
          <w:szCs w:val="20"/>
        </w:rPr>
        <w:t xml:space="preserve">Level 2 QC results (inter-rater agreement, cases excluded)</w:t>
      </w:r>
    </w:p>
    <w:p/>
    <w:p>
      <w:pPr>
        <w:pStyle w:val="ListParagraph"/>
        <w:numPr>
          <w:ilvl w:val="0"/>
          <w:numId w:val="2"/>
        </w:numPr>
        <w:spacing w:after="40" w:before="40"/>
      </w:pPr>
      <w:r>
        <w:rPr>
          <w:rFonts w:ascii="Arial" w:cs="Arial" w:eastAsia="Arial" w:hAnsi="Arial"/>
          <w:sz w:val="20"/>
          <w:szCs w:val="20"/>
        </w:rPr>
        <w:t xml:space="preserve">Level 3 Dice scores if performed</w:t>
      </w:r>
    </w:p>
    <w:p/>
    <w:p>
      <w:pPr>
        <w:spacing w:after="60" w:before="60"/>
      </w:pPr>
      <w:r>
        <w:rPr>
          <w:rFonts w:ascii="Arial" w:cs="Arial" w:eastAsia="Arial" w:hAnsi="Arial"/>
          <w:sz w:val="20"/>
          <w:szCs w:val="20"/>
        </w:rPr>
        <w:t xml:space="preserve">Current status: pipeline under active development. This section will be completed before manuscript submission.</w:t>
      </w:r>
    </w:p>
    <w:p/>
    <w:p>
      <w:pPr>
        <w:pStyle w:val="Heading1"/>
        <w:spacing w:after="120" w:before="360"/>
      </w:pPr>
      <w:r>
        <w:rPr>
          <w:rFonts w:ascii="Arial" w:cs="Arial" w:eastAsia="Arial" w:hAnsi="Arial"/>
          <w:b/>
          <w:bCs/>
          <w:color w:val="0D47A1"/>
          <w:sz w:val="28"/>
          <w:szCs w:val="28"/>
        </w:rPr>
        <w:t xml:space="preserve">Appendix — Change Log</w:t>
      </w:r>
    </w:p>
    <w:p/>
    <w:p>
      <w:pPr>
        <w:pBdr>
          <w:bottom w:val="single" w:color="DDDDDD" w:sz="4" w:space="1"/>
        </w:pBdr>
        <w:spacing w:after="160" w:before="160"/>
      </w:pPr>
    </w:p>
    <w:p>
      <w:pPr>
        <w:pStyle w:val="Heading2"/>
        <w:spacing w:after="80" w:before="200"/>
      </w:pPr>
      <w:r>
        <w:rPr>
          <w:rFonts w:ascii="Arial" w:cs="Arial" w:eastAsia="Arial" w:hAnsi="Arial"/>
          <w:b/>
          <w:bCs/>
          <w:color w:val="1565C0"/>
          <w:sz w:val="24"/>
          <w:szCs w:val="24"/>
        </w:rPr>
        <w:t xml:space="preserve">4.4  Full Cohort Pyradiomics Batch QC — Results (April 2026)</w:t>
      </w:r>
    </w:p>
    <w:p>
      <w:pPr>
        <w:spacing w:after="60" w:before="60"/>
      </w:pPr>
      <w:r>
        <w:rPr>
          <w:rFonts w:ascii="Arial" w:cs="Arial" w:eastAsia="Arial" w:hAnsi="Arial"/>
          <w:sz w:val="20"/>
          <w:szCs w:val="20"/>
        </w:rPr>
        <w:t xml:space="preserve">A systematic QC of the full cohort pyradiomics output was performed on </w:t>
      </w:r>
      <w:r>
        <w:rPr>
          <w:rFonts w:ascii="Arial" w:cs="Arial" w:eastAsia="Arial" w:hAnsi="Arial"/>
          <w:b/>
          <w:bCs/>
          <w:sz w:val="20"/>
          <w:szCs w:val="20"/>
        </w:rPr>
        <w:t xml:space="preserve">radiomics_ibsi_all.csv</w:t>
      </w:r>
      <w:r>
        <w:rPr>
          <w:rFonts w:ascii="Arial" w:cs="Arial" w:eastAsia="Arial" w:hAnsi="Arial"/>
          <w:sz w:val="20"/>
          <w:szCs w:val="20"/>
        </w:rPr>
        <w:t xml:space="preserve"> (n=956 rows, 498 unique patients, 5 CT types). Of 498 patients, </w:t>
      </w:r>
      <w:r>
        <w:rPr>
          <w:rFonts w:ascii="Arial" w:cs="Arial" w:eastAsia="Arial" w:hAnsi="Arial"/>
          <w:b/>
          <w:bCs/>
          <w:sz w:val="20"/>
          <w:szCs w:val="20"/>
        </w:rPr>
        <w:t xml:space="preserve">457 have at least one fully valid row</w:t>
      </w:r>
      <w:r>
        <w:rPr>
          <w:rFonts w:ascii="Arial" w:cs="Arial" w:eastAsia="Arial" w:hAnsi="Arial"/>
          <w:sz w:val="20"/>
          <w:szCs w:val="20"/>
        </w:rPr>
        <w:t xml:space="preserve"> (LAA + LA + Aorta features all extracted). Aorta and LA features are present for all 956 rows; LAA features are NaN in 209 rows (142 skip_small_laa + 67 skip_fragmented_laa). No silent failures were detected.</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Configuration, resampling (1×1×1 mm³), and software versions (PyRadiomics v3.0.1, Python 3.10.20, SimpleITK 2.5.3) are consistent across all cases — identical to the v1 batch.</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Key findings vs v1 batch (n=290):</w:t>
      </w:r>
    </w:p>
    <w:p>
      <w:pPr>
        <w:pStyle w:val="ListParagraph"/>
        <w:numPr>
          <w:ilvl w:val="0"/>
          <w:numId w:val="2"/>
        </w:numPr>
        <w:spacing w:after="40" w:before="40"/>
      </w:pPr>
      <w:r>
        <w:rPr>
          <w:rFonts w:ascii="Arial" w:cs="Arial" w:eastAsia="Arial" w:hAnsi="Arial"/>
          <w:sz w:val="20"/>
          <w:szCs w:val="20"/>
        </w:rPr>
        <w:t xml:space="preserve">LAA VolumeNum &gt; 1: 100 cases (2–3 components) — proportionally consistent with v1.</w:t>
      </w:r>
    </w:p>
    <w:p>
      <w:pPr>
        <w:pStyle w:val="ListParagraph"/>
        <w:numPr>
          <w:ilvl w:val="0"/>
          <w:numId w:val="2"/>
        </w:numPr>
        <w:spacing w:after="40" w:before="40"/>
      </w:pPr>
      <w:r>
        <w:rPr>
          <w:rFonts w:ascii="Arial" w:cs="Arial" w:eastAsia="Arial" w:hAnsi="Arial"/>
          <w:sz w:val="20"/>
          <w:szCs w:val="20"/>
        </w:rPr>
        <w:t xml:space="preserve">Aorta VolumeNum &gt; 1: 464/956 cases, predominantly CT_heart (292). Increase vs v1 (34/290) driven by extended FOV in CT_heart protocols. Under discussion with supervisor.</w:t>
      </w:r>
    </w:p>
    <w:p>
      <w:pPr>
        <w:pStyle w:val="ListParagraph"/>
        <w:numPr>
          <w:ilvl w:val="0"/>
          <w:numId w:val="2"/>
        </w:numPr>
        <w:spacing w:after="40" w:before="40"/>
      </w:pPr>
      <w:r>
        <w:rPr>
          <w:rFonts w:ascii="Arial" w:cs="Arial" w:eastAsia="Arial" w:hAnsi="Arial"/>
          <w:sz w:val="20"/>
          <w:szCs w:val="20"/>
        </w:rPr>
        <w:t xml:space="preserve">HU inversions (LAA ≥ LA): 74/747 valid cases (9.9%) — elevated vs v1 (0.4%). Concentrated in CT_heart and CT_abdomen. Requires discussion with supervisor before interpretation; some cases may represent true Type 2a SLAAO.</w:t>
      </w:r>
    </w:p>
    <w:p>
      <w:pPr>
        <w:pStyle w:val="ListParagraph"/>
        <w:numPr>
          <w:ilvl w:val="0"/>
          <w:numId w:val="2"/>
        </w:numPr>
        <w:spacing w:after="40" w:before="40"/>
      </w:pPr>
      <w:r>
        <w:rPr>
          <w:rFonts w:ascii="Arial" w:cs="Arial" w:eastAsia="Arial" w:hAnsi="Arial"/>
          <w:sz w:val="20"/>
          <w:szCs w:val="20"/>
        </w:rPr>
        <w:t xml:space="preserve">eCTA and CT_thorax LAA/LA and LAA/Aorta ratios identical to v1 reference values — confirms pipeline consistency.</w:t>
      </w:r>
    </w:p>
    <w:p>
      <w:pPr>
        <w:pStyle w:val="ListParagraph"/>
        <w:numPr>
          <w:ilvl w:val="0"/>
          <w:numId w:val="2"/>
        </w:numPr>
        <w:spacing w:after="40" w:before="40"/>
      </w:pPr>
      <w:r>
        <w:rPr>
          <w:rFonts w:ascii="Arial" w:cs="Arial" w:eastAsia="Arial" w:hAnsi="Arial"/>
          <w:sz w:val="20"/>
          <w:szCs w:val="20"/>
        </w:rPr>
        <w:t xml:space="preserve">LA/Aorta ratio overall median = 1.000 — confirms adequate contrast phase consistency.</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Volumetric QC flags — full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laa_segmentation_failure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Hard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Excluded — LAA &lt; 1,000 mm³ (&lt; 1 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laa_small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5100"/>
                <w:sz w:val="20"/>
                <w:szCs w:val="20"/>
              </w:rPr>
              <w:t xml:space="preserve">Soft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81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Included — flagged for 3D Slicer visual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la_segmentation_failure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Hard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Excluded — LA &lt; 10,000 mm³ (&lt; 10 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la_partial_fov</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5100"/>
                <w:sz w:val="20"/>
                <w:szCs w:val="20"/>
              </w:rPr>
              <w:t xml:space="preserve">Soft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70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Included — HU ratios valid; volume not used in SLAAO biomarker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328 / 956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47A1"/>
                <w:sz w:val="20"/>
                <w:szCs w:val="20"/>
              </w:rPr>
              <w:t xml:space="preserve">227 hard exclusions, 151 soft flags → qc_flagged_cases_v3.csv</w:t>
            </w:r>
          </w:p>
        </w:tc>
      </w:tr>
    </w:tbl>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New pipeline decision — Aorta contrast threshold: </w:t>
      </w:r>
      <w:r>
        <w:rPr>
          <w:rFonts w:ascii="Arial" w:cs="Arial" w:eastAsia="Arial" w:hAnsi="Arial"/>
          <w:sz w:val="20"/>
          <w:szCs w:val="20"/>
        </w:rPr>
        <w:t xml:space="preserve">Cases with Aorta median HU &lt; 150 HU are flagged as </w:t>
      </w:r>
      <w:r>
        <w:rPr>
          <w:rFonts w:ascii="Arial" w:cs="Arial" w:eastAsia="Arial" w:hAnsi="Arial"/>
          <w:b/>
          <w:bCs/>
          <w:sz w:val="20"/>
          <w:szCs w:val="20"/>
        </w:rPr>
        <w:t xml:space="preserve">aorta_low_contrast</w:t>
      </w:r>
      <w:r>
        <w:rPr>
          <w:rFonts w:ascii="Arial" w:cs="Arial" w:eastAsia="Arial" w:hAnsi="Arial"/>
          <w:sz w:val="20"/>
          <w:szCs w:val="20"/>
        </w:rPr>
        <w:t xml:space="preserve"> (soft flag). Rationale: inadequate aortic contrast enhancement indicates poor or absent contrast bolus, making the LAA/LA and LAA/Aorta ratios unreliable as SLAAO biomarkers. Threshold visualised as a reference line in the HU raincloud plot.</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Output files: </w:t>
      </w:r>
      <w:r>
        <w:rPr>
          <w:rFonts w:ascii="Arial" w:cs="Arial" w:eastAsia="Arial" w:hAnsi="Arial"/>
          <w:sz w:val="20"/>
          <w:szCs w:val="20"/>
        </w:rPr>
        <w:t xml:space="preserve">qc_flagged_cases_v3.csv (328 flagged cases), Radiomics_QC_Report.docx (full check-by-check report), 7 raincloud QC plots (horizontal orientation, mL units for volume plots).</w:t>
      </w:r>
    </w:p>
    <w:p>
      <w:pPr>
        <w:pBdr>
          <w:bottom w:val="single" w:color="DDDDDD" w:sz="4" w:space="1"/>
        </w:pBdr>
        <w:spacing w:after="160" w:before="160"/>
      </w:pPr>
    </w:p>
    <w:p>
      <w:pPr>
        <w:pStyle w:val="Heading1"/>
        <w:spacing w:after="120" w:before="360"/>
      </w:pPr>
      <w:r>
        <w:rPr>
          <w:rFonts w:ascii="Arial" w:cs="Arial" w:eastAsia="Arial" w:hAnsi="Arial"/>
          <w:b/>
          <w:bCs/>
          <w:color w:val="0D47A1"/>
          <w:sz w:val="28"/>
          <w:szCs w:val="28"/>
        </w:rPr>
        <w:t xml:space="preserve">Appendix —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1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Mar 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Conversion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eCTA upper coverage raised 450→550 mm</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Mar 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Conversion</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Sagittal/coronal reformat bug fixed (false UNCLASSIFIED)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Mar 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Conversion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Best-export-wins logic added for duplicate exports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Mar 17–20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Conversion</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 conversion batches run across 2 DICOM disks; manifest merging implemented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Mar ~18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Segmentation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NUDF rejected after visual QC of ~30 cases; replaced by VISTA3D (label 108)</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Mar ~18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Segmentation</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LAA quality filters added: ≥1000 voxels, ≤3 connected components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Mar ~20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Defacing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RAM overflow fixed: -npp 2 → -npp 1; 191/251 eCTA defaced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Mar ~21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Radiomics</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Issue documented: preprocessing not saved to disk; corrective policy added to CLAUDE.md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Mar 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All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This document created; QC framework formalized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Mar 31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Radiomics</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Systematic pyradiomics QC on first batch (n=290). Configuration, resampling, versions: all consistent. 49 LAA cases with VolumeNum &gt;1 identified (silent fragmentation). Volumetric hard/soft thresholds defined with literature references (section 4.3). HU physiological direction confirmed in 99.6% of cases. Excel parsing artefact identified; CSV-only policy enforced. qc_flagged_cases_v2.csv generated (71 flagged cases: 20 la_segmentation_failure, 28 la_partial_fov, 2 laa_segmentation_failure, 15 laa_small).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Apr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Radiomics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build_radiomics_manifest_nudf_la.py updated: --qc-csv flag added to filter manifest using qc_Federica_seg_2026-03-26.csv (fixed/empty = included; not_fixable/pending = excluded). Manual QC has priority over mask presence.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Apr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Radiomics</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run_pyradiomics_ibsi_batch.py updated: volumetric thresholds on Mask-interpolated_VoxelNum implemented (LAA &lt;1000 mm³ = skip; LAA 1000–5000 mm³ = flag laa_small; LA &lt;10000 mm³ = include with LA features as NaN; LA 10000–50000 mm³ = flag la_partial_fov). HU direction check removed (would incorrectly exclude Type 2a cases by definition). --save-preprocessed default set to True.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Apr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Radiomics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cohort radiomics batch launched overnight: manifest radiomics_manifest_all.csv (976 cases, 99 skipped for missing masks), output radiomics_ibsi_all.csv. Estimated runtime ~6h. Resume logic active.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Apr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Radiomics</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cohort radiomics QC completed on radiomics_ibsi_all.csv (n=956 rows, 498 patients, 457 with fully valid LAA+LA+Ao features). Checks 1–10 run: configuration/resampling/versions PASS; VolumeNum elevated in Aorta for CT_heart (464 cases, pending discussion with supervisor); 209 LAA NaN (142 skip_small_laa + 67 skip_fragmented_laa, no silent failures); HU values plausible; 74 HU inversions LAA≥LA (9.9%, elevated vs v1 0.4%, CT_heart dominant, pending discussion); LA/Aorta ratio median 1.000 PASS. qc_flagged_cases_v3.csv generated: 328 flagged (216 laa_segmentation_failure, 81 laa_small, 30 la_segmentation_failure, 70 la_partial_fov), 227 hard exclusions. Section 4.4 added.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Apr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Radiomics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Aorta contrast threshold added: Aorta median HU &lt; 150 HU flagged as aorta_low_contrast (soft flag). Rationale: inadequate contrast enhancement makes LAA/LA ratio unreliable. Threshold visualised as vertical line in raincloud_hu_by_structure plot.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Apr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Radiomics</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7 raincloud QC plots reproduced on full cohort (plot_raincloud_v2.py, split into 7 independent scripts). Volume plots use mL units (mm³ ÷ 1000) for clinical interpretability. Plots are horizontal orientation.</w:t>
            </w:r>
          </w:p>
        </w:tc>
      </w:tr>
    </w:tbl>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47A1"/>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2026-04-02T21:24:15.250Z</dcterms:created>
  <dcterms:modified xsi:type="dcterms:W3CDTF">2026-04-02T21:24:15.251Z</dcterms:modified>
</cp:coreProperties>
</file>

<file path=docProps/custom.xml><?xml version="1.0" encoding="utf-8"?>
<Properties xmlns="http://schemas.openxmlformats.org/officeDocument/2006/custom-properties" xmlns:vt="http://schemas.openxmlformats.org/officeDocument/2006/docPropsVTypes"/>
</file>