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Noto Sans TC" w:hAnsi="Noto Sans TC" w:eastAsia="Noto Sans TC"/>
          <w:b/>
          <w:i w:val="0"/>
          <w:color w:val="D97706"/>
          <w:sz w:val="22"/>
        </w:rPr>
        <w:t>BITCOIN / ETHEREUM</w:t>
      </w:r>
    </w:p>
    <w:p>
      <w:pPr>
        <w:pStyle w:val="Title"/>
      </w:pPr>
      <w:r>
        <w:rPr>
          <w:rFonts w:ascii="Noto Sans TC" w:hAnsi="Noto Sans TC" w:eastAsia="Noto Sans TC"/>
          <w:b/>
          <w:i w:val="0"/>
          <w:color w:val="16324F"/>
          <w:sz w:val="56"/>
        </w:rPr>
        <w:t>比特幣與以太幣</w:t>
        <w:br/>
        <w:t>選擇權策略研究</w:t>
      </w:r>
    </w:p>
    <w:p>
      <w:pPr>
        <w:pStyle w:val="Subtitle"/>
      </w:pPr>
      <w:r>
        <w:rPr>
          <w:rFonts w:ascii="Noto Sans TC" w:hAnsi="Noto Sans TC" w:eastAsia="Noto Sans TC"/>
          <w:b w:val="0"/>
          <w:i w:val="0"/>
          <w:color w:val="1F5A7A"/>
          <w:sz w:val="26"/>
        </w:rPr>
        <w:t>Deribit 市場資料、理論基礎與 2021–2026 月度回測</w:t>
      </w:r>
    </w:p>
    <w:p>
      <w:pPr>
        <w:spacing w:after="200"/>
      </w:pP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c>
          <w:tcPr>
            <w:tcW w:type="dxa" w:w="10080"/>
            <w:shd w:fill="EAF2F7"/>
          </w:tcPr>
          <w:p>
            <w:pPr>
              <w:spacing w:after="8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研究範圍</w:t>
            </w:r>
          </w:p>
          <w:p>
            <w:pPr>
              <w:spacing w:after="40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• 標的：BTC、ETH（歷史樣本採 Deribit 反向交割選擇權）</w:t>
            </w:r>
          </w:p>
          <w:p>
            <w:pPr>
              <w:spacing w:after="40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• 期間：2021-04 至 2026-06；BTC 61 個月度週期、ETH 60 個月度週期</w:t>
            </w:r>
          </w:p>
          <w:p>
            <w:pPr>
              <w:spacing w:after="40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• 策略：保守型現貨覆蓋、有限風險價差、波動率多空與條件式策略</w:t>
            </w:r>
          </w:p>
          <w:p>
            <w:pPr>
              <w:spacing w:after="40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• 資料：Deribit 標記價格／標記 IV、Deribit 指數、DVOL 與公開現貨資料</w:t>
            </w:r>
          </w:p>
        </w:tc>
      </w:tr>
    </w:tbl>
    <w:p>
      <w:pPr>
        <w:spacing w:after="360"/>
      </w:pPr>
    </w:p>
    <w:p>
      <w:r>
        <w:rPr>
          <w:rFonts w:ascii="Noto Sans TC" w:hAnsi="Noto Sans TC" w:eastAsia="Noto Sans TC"/>
          <w:b/>
          <w:i w:val="0"/>
          <w:color w:val="16324F"/>
          <w:sz w:val="18"/>
        </w:rPr>
        <w:t xml:space="preserve">研究日期  </w:t>
      </w:r>
      <w:r>
        <w:rPr>
          <w:rFonts w:ascii="Noto Sans TC" w:hAnsi="Noto Sans TC" w:eastAsia="Noto Sans TC"/>
          <w:b w:val="0"/>
          <w:i w:val="0"/>
          <w:sz w:val="18"/>
        </w:rPr>
        <w:t>2026 年 7 月 14 日</w:t>
      </w:r>
    </w:p>
    <w:p>
      <w:r>
        <w:rPr>
          <w:rFonts w:ascii="Noto Sans TC" w:hAnsi="Noto Sans TC" w:eastAsia="Noto Sans TC"/>
          <w:b/>
          <w:i w:val="0"/>
          <w:color w:val="16324F"/>
          <w:sz w:val="18"/>
        </w:rPr>
        <w:t xml:space="preserve">文件性質  </w:t>
      </w:r>
      <w:r>
        <w:rPr>
          <w:rFonts w:ascii="Noto Sans TC" w:hAnsi="Noto Sans TC" w:eastAsia="Noto Sans TC"/>
          <w:b w:val="0"/>
          <w:i w:val="0"/>
          <w:sz w:val="18"/>
        </w:rPr>
        <w:t>研究與教育用途；非投資建議或績效保證</w:t>
      </w:r>
    </w:p>
    <w:p>
      <w:pPr>
        <w:spacing w:after="800"/>
      </w:pPr>
    </w:p>
    <w:p>
      <w:pPr>
        <w:jc w:val="left"/>
      </w:pPr>
      <w:r>
        <w:rPr>
          <w:rFonts w:ascii="Noto Sans TC" w:hAnsi="Noto Sans TC" w:eastAsia="Noto Sans TC"/>
          <w:b w:val="0"/>
          <w:i w:val="0"/>
          <w:color w:val="A63D40"/>
          <w:sz w:val="16"/>
        </w:rPr>
        <w:t>重要提醒：選擇權可能在短時間內損失全部權利金；裸賣選擇權可能產生遠超收取權利金的損失。本文回測使用歷史標記價格，不等於可成交報價。</w:t>
      </w:r>
    </w:p>
    <w:p>
      <w:r>
        <w:rPr>
          <w:rFonts w:ascii="Noto Sans TC" w:hAnsi="Noto Sans TC" w:eastAsia="Noto Sans TC"/>
        </w:rPr>
        <w:br w:type="page"/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執行摘要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72"/>
            <w:shd w:fill="D97706"/>
          </w:tcPr>
          <w:p/>
        </w:tc>
        <w:tc>
          <w:tcPr>
            <w:tcW w:type="dxa" w:w="9187"/>
            <w:shd w:fill="FFF2E4"/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一句話結論</w:t>
            </w:r>
          </w:p>
          <w:p>
            <w:pPr>
              <w:spacing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樣本內，BTC 的 collar 與 covered call 有較佳點估計；ETH 則較偏向條件式買波動。可是所有策略的 95% 區塊 bootstrap 區間都涵蓋 0，故本研究只把結果視為『策略篩選與風險用途證據』，不能當成穩定 alpha 的證明。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93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資產</w:t>
            </w:r>
          </w:p>
        </w:tc>
        <w:tc>
          <w:tcPr>
            <w:tcW w:type="dxa" w:w="208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樣本內策略</w:t>
            </w:r>
          </w:p>
        </w:tc>
        <w:tc>
          <w:tcPr>
            <w:tcW w:type="dxa" w:w="12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年化報酬</w:t>
            </w:r>
          </w:p>
        </w:tc>
        <w:tc>
          <w:tcPr>
            <w:tcW w:type="dxa" w:w="12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最大回撤</w:t>
            </w:r>
          </w:p>
        </w:tc>
        <w:tc>
          <w:tcPr>
            <w:tcW w:type="dxa" w:w="374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解讀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</w:t>
            </w:r>
          </w:p>
        </w:tc>
        <w:tc>
          <w:tcPr>
            <w:tcW w:type="dxa" w:w="20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Collar 25Δ/25Δ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+12.1%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−36.5%</w:t>
            </w:r>
          </w:p>
        </w:tc>
        <w:tc>
          <w:tcPr>
            <w:tcW w:type="dxa" w:w="37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較佳點估計；以犧牲部分上漲換取下檔保護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</w:t>
            </w:r>
          </w:p>
        </w:tc>
        <w:tc>
          <w:tcPr>
            <w:tcW w:type="dxa" w:w="208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Covered Call 25Δ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+7.2%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−56.0%</w:t>
            </w:r>
          </w:p>
        </w:tc>
        <w:tc>
          <w:tcPr>
            <w:tcW w:type="dxa" w:w="374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適合願意出售上檔的長期持有者；不是下檔避險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</w:t>
            </w:r>
          </w:p>
        </w:tc>
        <w:tc>
          <w:tcPr>
            <w:tcW w:type="dxa" w:w="20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GARCH IV–RV timing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+3.3%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−35.2%</w:t>
            </w:r>
          </w:p>
        </w:tc>
        <w:tc>
          <w:tcPr>
            <w:tcW w:type="dxa" w:w="37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研究候選；模型風險與樣本選擇風險高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ETH</w:t>
            </w:r>
          </w:p>
        </w:tc>
        <w:tc>
          <w:tcPr>
            <w:tcW w:type="dxa" w:w="208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GARCH IV–RV timing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+7.4%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−55.5%</w:t>
            </w:r>
          </w:p>
        </w:tc>
        <w:tc>
          <w:tcPr>
            <w:tcW w:type="dxa" w:w="374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點估計領先，但信賴區間寬、回撤仍大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ETH</w:t>
            </w:r>
          </w:p>
        </w:tc>
        <w:tc>
          <w:tcPr>
            <w:tcW w:type="dxa" w:w="20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Long ATM straddle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+3.8%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−47.9%</w:t>
            </w:r>
          </w:p>
        </w:tc>
        <w:tc>
          <w:tcPr>
            <w:tcW w:type="dxa" w:w="37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ETH 實現波動較易超過進場 IV；成本敏感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BTC/ETH</w:t>
            </w:r>
          </w:p>
        </w:tc>
        <w:tc>
          <w:tcPr>
            <w:tcW w:type="dxa" w:w="208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Short strangle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−2.1% / −17.9%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−44.6% / −73.8%</w:t>
            </w:r>
          </w:p>
        </w:tc>
        <w:tc>
          <w:tcPr>
            <w:tcW w:type="dxa" w:w="374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勝率高但尾部損失壓過權利金；不宜無條件裸賣</w:t>
            </w:r>
          </w:p>
        </w:tc>
      </w:tr>
    </w:tbl>
    <w:p>
      <w:pPr>
        <w:spacing w:after="40"/>
      </w:pPr>
    </w:p>
    <w:p>
      <w:pPr>
        <w:spacing w:after="160" w:before="0" w:line="278" w:lineRule="auto"/>
      </w:pPr>
      <w:r>
        <w:rPr>
          <w:rFonts w:ascii="Noto Sans TC" w:hAnsi="Noto Sans TC" w:eastAsia="Noto Sans TC"/>
          <w:b w:val="0"/>
          <w:i w:val="0"/>
        </w:rPr>
        <w:t>這些報酬以一枚幣的美元名目曝險計算，含官方費率與每腿 1% 權利金滑價。現貨疊加策略連續持有現貨；純選擇權策略未模擬交易所實際保證金，因此不能把報酬率直接解讀為資本報酬率。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五項核心發現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波動率風險溢酬不是常數。進場 ATM IV 與持有期實現波動相比，BTC 平均多 1.1 個波動率點，ETH 平均少 4.1 點；IV &gt; RV 的月份只占 59.0% 與 51.7%。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高勝率不等於高期望值。BTC/ETH short strangle 勝率為 72.1%/66.7%，樣本內年化卻為 −2.1%/−17.9%；少數跳躍月份足以抹去長期權利金。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BTC 的保守覆蓋較有經濟直覺。Collar 將最大回撤由 HODL 的 −69.5% 降至 −36.5%；covered call 則降低波動，但仍承受大部分現貨跌幅。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ETH 的無條件賣波動表現較弱。ETH 平均實現波動高於進場 ATM IV，long straddle 與條件式 IV–RV 策略的點估計為正；但四腿或頻繁交易策略對成本相當敏感。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證據強度有限。樣本只有約 5 年、進出場每月一次，而且標記價格不是 bid/ask 成交；任何實施前都應進行逐筆報價、精確結算 TWAP、保證金與走勢外測試。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策略可行性總覽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655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策略</w:t>
            </w:r>
          </w:p>
        </w:tc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風險層級</w:t>
            </w:r>
          </w:p>
        </w:tc>
        <w:tc>
          <w:tcPr>
            <w:tcW w:type="dxa" w:w="180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BTC</w:t>
            </w:r>
          </w:p>
        </w:tc>
        <w:tc>
          <w:tcPr>
            <w:tcW w:type="dxa" w:w="180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ETH</w:t>
            </w:r>
          </w:p>
        </w:tc>
        <w:tc>
          <w:tcPr>
            <w:tcW w:type="dxa" w:w="2951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主要失敗模式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Covered call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保守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BTC：有條件可行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ETH：未見改善</w:t>
            </w:r>
          </w:p>
        </w:tc>
        <w:tc>
          <w:tcPr>
            <w:tcW w:type="dxa" w:w="295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上漲被截斷；下跌近似持有現貨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Collar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保守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BTC：優先研究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ETH：成本偏重</w:t>
            </w:r>
          </w:p>
        </w:tc>
        <w:tc>
          <w:tcPr>
            <w:tcW w:type="dxa" w:w="295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上、下檔同時受限；skew 會改變成本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Cash-secured put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保守／中等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BTC：中性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ETH：小幅正點估計</w:t>
            </w:r>
          </w:p>
        </w:tc>
        <w:tc>
          <w:tcPr>
            <w:tcW w:type="dxa" w:w="295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跳空下跌與接貨風險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Debit spread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中等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兩者皆不支持簡單 90D 動能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同左</w:t>
            </w:r>
          </w:p>
        </w:tc>
        <w:tc>
          <w:tcPr>
            <w:tcW w:type="dxa" w:w="295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訊號錯誤與時間價值耗損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Long straddle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積極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無條件不利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選擇性可行</w:t>
            </w:r>
          </w:p>
        </w:tc>
        <w:tc>
          <w:tcPr>
            <w:tcW w:type="dxa" w:w="295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權利金全損；IV crush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Short strangle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非常積極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不建議裸賣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不建議裸賣</w:t>
            </w:r>
          </w:p>
        </w:tc>
        <w:tc>
          <w:tcPr>
            <w:tcW w:type="dxa" w:w="295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負 gamma、跳躍與清算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Iron condor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積極但有限損失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樣本內不利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樣本內不利</w:t>
            </w:r>
          </w:p>
        </w:tc>
        <w:tc>
          <w:tcPr>
            <w:tcW w:type="dxa" w:w="295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四腿成本、尾部仍可一次達最大損失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IV–RV timing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研究型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候選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候選</w:t>
            </w:r>
          </w:p>
        </w:tc>
        <w:tc>
          <w:tcPr>
            <w:tcW w:type="dxa" w:w="295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模型、門檻與再訓練風險</w:t>
            </w:r>
          </w:p>
        </w:tc>
      </w:tr>
    </w:tbl>
    <w:p>
      <w:pPr>
        <w:spacing w:after="40"/>
      </w:pPr>
    </w:p>
    <w:p>
      <w:r>
        <w:rPr>
          <w:rFonts w:ascii="Noto Sans TC" w:hAnsi="Noto Sans TC" w:eastAsia="Noto Sans TC"/>
        </w:rPr>
        <w:br w:type="page"/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目錄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93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章</w:t>
            </w:r>
          </w:p>
        </w:tc>
        <w:tc>
          <w:tcPr>
            <w:tcW w:type="dxa" w:w="3671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內容</w:t>
            </w:r>
          </w:p>
        </w:tc>
        <w:tc>
          <w:tcPr>
            <w:tcW w:type="dxa" w:w="93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章</w:t>
            </w:r>
          </w:p>
        </w:tc>
        <w:tc>
          <w:tcPr>
            <w:tcW w:type="dxa" w:w="381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1</w:t>
            </w:r>
          </w:p>
        </w:tc>
        <w:tc>
          <w:tcPr>
            <w:tcW w:type="dxa" w:w="367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研究問題、範圍與判斷框架</w:t>
            </w:r>
          </w:p>
        </w:tc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6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基礎回測設計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</w:t>
            </w:r>
          </w:p>
        </w:tc>
        <w:tc>
          <w:tcPr>
            <w:tcW w:type="dxa" w:w="367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Deribit 合約、市場與會計機制</w:t>
            </w:r>
          </w:p>
        </w:tc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7</w:t>
            </w:r>
          </w:p>
        </w:tc>
        <w:tc>
          <w:tcPr>
            <w:tcW w:type="dxa" w:w="381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回測結果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3</w:t>
            </w:r>
          </w:p>
        </w:tc>
        <w:tc>
          <w:tcPr>
            <w:tcW w:type="dxa" w:w="367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學術文獻：定價、風險溢酬與加密市場</w:t>
            </w:r>
          </w:p>
        </w:tc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8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可行性結論與實施框架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4</w:t>
            </w:r>
          </w:p>
        </w:tc>
        <w:tc>
          <w:tcPr>
            <w:tcW w:type="dxa" w:w="367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BTC 與 ETH 的波動率環境</w:t>
            </w:r>
          </w:p>
        </w:tc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9</w:t>
            </w:r>
          </w:p>
        </w:tc>
        <w:tc>
          <w:tcPr>
            <w:tcW w:type="dxa" w:w="381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限制、偏誤與下一階段研究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5</w:t>
            </w:r>
          </w:p>
        </w:tc>
        <w:tc>
          <w:tcPr>
            <w:tcW w:type="dxa" w:w="367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策略庫：理論、曝險與適用條件</w:t>
            </w:r>
          </w:p>
        </w:tc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結論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附錄</w:t>
            </w:r>
          </w:p>
        </w:tc>
        <w:tc>
          <w:tcPr>
            <w:tcW w:type="dxa" w:w="367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計算式、訊號、資料與參考文獻</w:t>
            </w:r>
          </w:p>
        </w:tc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附件</w:t>
            </w:r>
          </w:p>
        </w:tc>
        <w:tc>
          <w:tcPr>
            <w:tcW w:type="dxa" w:w="381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可重現 Jupyter Notebook</w:t>
            </w:r>
          </w:p>
        </w:tc>
      </w:tr>
    </w:tbl>
    <w:p>
      <w:pPr>
        <w:spacing w:after="40"/>
      </w:pPr>
    </w:p>
    <w:p>
      <w:pPr>
        <w:spacing w:after="160" w:before="0" w:line="278" w:lineRule="auto"/>
      </w:pPr>
      <w:r>
        <w:rPr>
          <w:rFonts w:ascii="Noto Sans TC" w:hAnsi="Noto Sans TC" w:eastAsia="Noto Sans TC"/>
          <w:b w:val="0"/>
          <w:i w:val="0"/>
        </w:rPr>
        <w:t>各節使用 Word 標題樣式；如需頁碼型目錄，可在 Word 中插入或更新自動目錄。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72"/>
            <w:shd w:fill="257A5A"/>
          </w:tcPr>
          <w:p/>
        </w:tc>
        <w:tc>
          <w:tcPr>
            <w:tcW w:type="dxa" w:w="9187"/>
            <w:shd w:fill="E9F5EF"/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如何閱讀結果</w:t>
            </w:r>
          </w:p>
          <w:p>
            <w:pPr>
              <w:spacing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先看第 6 章的回測設計，再看第 7 章結果。年化報酬是樣本點估計；95% CI 才是對不確定性的主要檢查。策略的理論正確，不代表當期定價、成本與風險溢酬足以支持獲利。</w:t>
            </w:r>
          </w:p>
        </w:tc>
      </w:tr>
    </w:tbl>
    <w:p>
      <w:pPr>
        <w:spacing w:after="20"/>
      </w:pPr>
    </w:p>
    <w:p>
      <w:r>
        <w:rPr>
          <w:rFonts w:ascii="Noto Sans TC" w:hAnsi="Noto Sans TC" w:eastAsia="Noto Sans TC"/>
        </w:rPr>
        <w:br w:type="page"/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1. 研究問題、範圍與判斷框架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本研究要回答三個問題：第一，哪些選擇權策略在 BTC 與 ETH 上具有清楚的資產定價或避險理論；第二，Deribit 的合約、結算與費用會如何改變策略；第三，這些策略在可取得的歷史市場標記價格中是否具備初步可行性。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1.1 不把『理論成立』等同『策略獲利』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Black–Scholes 提供無套利定價基準 [1]，Merton 跳躍模型說明不連續價格變動會改變尾部與微笑 [2]；但策略報酬還取決於實現波動、隱含波動、skew、交易成本、保證金與投資人的風險承擔。Carr &amp; Wu、Bollerslev 等人的變異數風險溢酬研究指出，賣波動的平均報酬通常是承擔崩跌保險風險的補償，而非免費套利 [3][4]。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1.2 證據分層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層級</w:t>
            </w:r>
          </w:p>
        </w:tc>
        <w:tc>
          <w:tcPr>
            <w:tcW w:type="dxa" w:w="388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內容</w:t>
            </w:r>
          </w:p>
        </w:tc>
        <w:tc>
          <w:tcPr>
            <w:tcW w:type="dxa" w:w="4031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A｜機制</w:t>
            </w:r>
          </w:p>
        </w:tc>
        <w:tc>
          <w:tcPr>
            <w:tcW w:type="dxa" w:w="38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無套利關係、payoff、Greeks、合約規格</w:t>
            </w:r>
          </w:p>
        </w:tc>
        <w:tc>
          <w:tcPr>
            <w:tcW w:type="dxa" w:w="403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判斷策略曝險與最大可能損失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B｜文獻</w:t>
            </w:r>
          </w:p>
        </w:tc>
        <w:tc>
          <w:tcPr>
            <w:tcW w:type="dxa" w:w="388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股票／指數與加密選擇權的實證</w:t>
            </w:r>
          </w:p>
        </w:tc>
        <w:tc>
          <w:tcPr>
            <w:tcW w:type="dxa" w:w="403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建立為何可能有風險溢酬的理論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C｜本回測</w:t>
            </w:r>
          </w:p>
        </w:tc>
        <w:tc>
          <w:tcPr>
            <w:tcW w:type="dxa" w:w="388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Deribit 月度標記價格與 IV</w:t>
            </w:r>
          </w:p>
        </w:tc>
        <w:tc>
          <w:tcPr>
            <w:tcW w:type="dxa" w:w="403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做資產別、策略別的可行性篩選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D｜可交易驗證</w:t>
            </w:r>
          </w:p>
        </w:tc>
        <w:tc>
          <w:tcPr>
            <w:tcW w:type="dxa" w:w="388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bid/ask、深度、保證金、清算、精確結算</w:t>
            </w:r>
          </w:p>
        </w:tc>
        <w:tc>
          <w:tcPr>
            <w:tcW w:type="dxa" w:w="403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本文未完成；正式部署前必須補足</w:t>
            </w:r>
          </w:p>
        </w:tc>
      </w:tr>
    </w:tbl>
    <w:p>
      <w:pPr>
        <w:spacing w:after="40"/>
      </w:pP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回測期間自 2021 年 4 月至 2026 年 6 月。策略以每月第一日建立、持有至最接近 30 天的到期日，不使用日內擇時。結果僅代表這個具體規則與樣本，不代表任何類似策略的普遍績效。</w:t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2. Deribit 合約、市場與會計機制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2.1 反向交割選擇權的 payoff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歷史樣本採 Deribit BTC/ETH 反向交割歐式選擇權。權利金以標的幣計價、到期現金交割於標的幣；一枚幣名目下，到期 call 與 put 的幣本位 payoff 可寫成：</w:t>
      </w:r>
    </w:p>
    <w:p>
      <w:pPr>
        <w:jc w:val="center"/>
      </w:pPr>
      <w:r>
        <w:rPr>
          <w:rFonts w:ascii="Noto Sans TC" w:hAnsi="Noto Sans TC" w:eastAsia="Noto Sans TC"/>
          <w:b/>
          <w:i w:val="0"/>
          <w:color w:val="16324F"/>
          <w:sz w:val="21"/>
        </w:rPr>
        <w:t>Call coin payoff = max(Sₜ − K, 0) / Sₜ    |    Put coin payoff = max(K − Sₜ, 0) / Sₜ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乘回結算價格後，美元 payoff 分別是 max(Sₜ−K,0) 與 max(K−Sₜ,0)。然而在持有期間，幣本位權利金與損益的美元價值會隨幣價變動；這也是 inverse 選擇權與線性 USD/USDC 選擇權不能直接混用的原因 [11][12][17][21]。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2.2 交易費、交割費與價格來源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2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項目</w:t>
            </w:r>
          </w:p>
        </w:tc>
        <w:tc>
          <w:tcPr>
            <w:tcW w:type="dxa" w:w="43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規格／本文用法</w:t>
            </w:r>
          </w:p>
        </w:tc>
        <w:tc>
          <w:tcPr>
            <w:tcW w:type="dxa" w:w="381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研究影響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交易費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BTC/ETH 選擇權每筆 0.03% 標的幣；上限為權利金 12.5%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小權利金 OTM 腿受費率上限影響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交割費</w:t>
            </w:r>
          </w:p>
        </w:tc>
        <w:tc>
          <w:tcPr>
            <w:tcW w:type="dxa" w:w="43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0.015% 標的幣；上限為結算價值 12.5%</w:t>
            </w:r>
          </w:p>
        </w:tc>
        <w:tc>
          <w:tcPr>
            <w:tcW w:type="dxa" w:w="381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價內到期腿需納入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結算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到期前 30 分鐘 Deribit 指數的時間加權平均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本文以 6 小時指數插值近似，非精確 TWAP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進場價</w:t>
            </w:r>
          </w:p>
        </w:tc>
        <w:tc>
          <w:tcPr>
            <w:tcW w:type="dxa" w:w="43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歷史 mark price / mark IV</w:t>
            </w:r>
          </w:p>
        </w:tc>
        <w:tc>
          <w:tcPr>
            <w:tcW w:type="dxa" w:w="381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不是可成交 bid/ask；流動性成本以敏感度模擬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DVOL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固定 30 天期的年化隱含波動指數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用於市場環境描述，不直接當作策略成交價</w:t>
            </w:r>
          </w:p>
        </w:tc>
      </w:tr>
    </w:tbl>
    <w:p>
      <w:pPr>
        <w:spacing w:after="40"/>
      </w:pP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Deribit 官方文件說明 inverse options、費率、結算與指數方法 [21]–[25]。歷史 options chain 的 mark price/IV 取自 Tardis 封裝的 Deribit 市場資料介面 [26][27]；DVOL 歷史 CSV 由 CryptoDataDownload 提供 [28]。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72"/>
            <w:shd w:fill="A63D40"/>
          </w:tcPr>
          <w:p/>
        </w:tc>
        <w:tc>
          <w:tcPr>
            <w:tcW w:type="dxa" w:w="9187"/>
            <w:shd w:fill="FCEBEC"/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實務上最容易被忽略的錯誤</w:t>
            </w:r>
          </w:p>
          <w:p>
            <w:pPr>
              <w:spacing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以美元直覺計算反向選擇權權利金，卻忘記權利金實際是以 BTC/ETH 支付；或把策略的選擇權名目報酬當成交易所保證金報酬。兩者都會嚴重扭曲槓桿與清算風險。</w:t>
            </w:r>
          </w:p>
        </w:tc>
      </w:tr>
    </w:tbl>
    <w:p>
      <w:pPr>
        <w:spacing w:after="2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3. 學術文獻：從定價、風險溢酬到加密市場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3.1 定價基準：連續擴散不足以描述加密尾部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Black–Scholes 的核心價值是提供 delta、gamma、vega、theta 等可分解的基準 [1]。但 BTC/ETH 具有跳躍、厚尾與波動聚集；Merton 的跳躍擴散 [2] 以及隨機波動加跳躍模型更接近市場。Hou 等人使用 BTC 選擇權顯示，納入價格與波動共同跳躍的 SVCJ 類模型能更好解釋加密選擇權價格 [8]。因此，任何裸賣 gamma 的策略都不能只依賴常態分配 VaR。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3.2 為何賣波動可能賺錢，也可能突然失效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傳統資產的 variance risk premium（隱含變異數高於未來實現變異數）通常為正，且與市場崩跌風險與風險厭惡相關 [3][4][5]。在 BTC，上述溢酬高度受 regime 影響；低波動狀態可能存在較高的賣方補償，高波動狀態則未必 [9][15][16]。這支持『有條件地賣波動』，不支持把 short strangle 當作固定收益。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3.3 Skew、需求壓力與跳躍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選擇權 smile/skew 不只反映統計分配，也反映投資人對上漲與下跌保險的淨需求。Alexander 等人發現加密選擇權淨買壓可解釋隱含波動截面 [13]；Chen、Deng、Nie 進一步連結 IV slope 與價格跳躍 [14]。因此 collar、risk reversal 與不同 delta 翼價差的成本，會隨市場擁擠與事件風險改變。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3.4 對沖與 inverse 會計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Matic、Packham、Härdle 比較加密選擇權的動態對沖方法，說明模型與再平衡頻率會顯著影響結果 [11]。Lucic &amp; Sepp 則直接處理 inverse options 的幣本位／美元本位會計與對沖 [12]。這些研究支持 gamma scalping 與 delta-hedged straddle 的理論，但也顯示：若沒有高頻 bid/ask、資金成本與精確 hedge P&amp;L，不能宣稱完成了可交易的 gamma scalping 回測。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3.5 文獻與策略的直接對應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16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研究</w:t>
            </w:r>
          </w:p>
        </w:tc>
        <w:tc>
          <w:tcPr>
            <w:tcW w:type="dxa" w:w="345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主要發現</w:t>
            </w:r>
          </w:p>
        </w:tc>
        <w:tc>
          <w:tcPr>
            <w:tcW w:type="dxa" w:w="273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策略含意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Black &amp; Scholes (1973); Merton (1976)</w:t>
            </w:r>
          </w:p>
        </w:tc>
        <w:tc>
          <w:tcPr>
            <w:tcW w:type="dxa" w:w="34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無套利基準；跳躍會改變尾部</w:t>
            </w:r>
          </w:p>
        </w:tc>
        <w:tc>
          <w:tcPr>
            <w:tcW w:type="dxa" w:w="27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所有價差、straddle、Greeks 管理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Carr &amp; Wu (2009); Bollerslev et al. (2009)</w:t>
            </w:r>
          </w:p>
        </w:tc>
        <w:tc>
          <w:tcPr>
            <w:tcW w:type="dxa" w:w="345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VRP 是承擔波動／崩跌風險的補償</w:t>
            </w:r>
          </w:p>
        </w:tc>
        <w:tc>
          <w:tcPr>
            <w:tcW w:type="dxa" w:w="27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Covered call、short strangle、condor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Bakshi &amp; Kapadia (2003)</w:t>
            </w:r>
          </w:p>
        </w:tc>
        <w:tc>
          <w:tcPr>
            <w:tcW w:type="dxa" w:w="34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Delta-hedged option gains 揭示波動風險溢酬</w:t>
            </w:r>
          </w:p>
        </w:tc>
        <w:tc>
          <w:tcPr>
            <w:tcW w:type="dxa" w:w="27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Gamma scalping、long/short straddle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Israelov &amp; Nielsen (2014)</w:t>
            </w:r>
          </w:p>
        </w:tc>
        <w:tc>
          <w:tcPr>
            <w:tcW w:type="dxa" w:w="345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Covered call 報酬來自被動股票 beta 與 short call 的混合</w:t>
            </w:r>
          </w:p>
        </w:tc>
        <w:tc>
          <w:tcPr>
            <w:tcW w:type="dxa" w:w="27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不要把收益率誤認為免費收入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Liu &amp; Tsyvinski (2021)</w:t>
            </w:r>
          </w:p>
        </w:tc>
        <w:tc>
          <w:tcPr>
            <w:tcW w:type="dxa" w:w="34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加密報酬具動能等可預測性，但不保證期權表達有效</w:t>
            </w:r>
          </w:p>
        </w:tc>
        <w:tc>
          <w:tcPr>
            <w:tcW w:type="dxa" w:w="27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方向性 debit spread 的訊號來源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Hou et al. (2020/2022)</w:t>
            </w:r>
          </w:p>
        </w:tc>
        <w:tc>
          <w:tcPr>
            <w:tcW w:type="dxa" w:w="345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 選擇權需要 stochastic volatility 與 jumps</w:t>
            </w:r>
          </w:p>
        </w:tc>
        <w:tc>
          <w:tcPr>
            <w:tcW w:type="dxa" w:w="27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尾部定價、禁止常態化裸賣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Alexander &amp; Imeraj (2020); Almeida et al. (2024)</w:t>
            </w:r>
          </w:p>
        </w:tc>
        <w:tc>
          <w:tcPr>
            <w:tcW w:type="dxa" w:w="34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 VRP 與 regime 變化</w:t>
            </w:r>
          </w:p>
        </w:tc>
        <w:tc>
          <w:tcPr>
            <w:tcW w:type="dxa" w:w="27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條件式賣波動／風險預算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Chi &amp; Hao (2021)</w:t>
            </w:r>
          </w:p>
        </w:tc>
        <w:tc>
          <w:tcPr>
            <w:tcW w:type="dxa" w:w="345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GARCH forecast 與 IV spread 可形成 timing 訊號</w:t>
            </w:r>
          </w:p>
        </w:tc>
        <w:tc>
          <w:tcPr>
            <w:tcW w:type="dxa" w:w="27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本研究 GARCH IV–RV timing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Matic et al. (2023); Lucic &amp; Sepp (2024)</w:t>
            </w:r>
          </w:p>
        </w:tc>
        <w:tc>
          <w:tcPr>
            <w:tcW w:type="dxa" w:w="34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對沖頻率、模型與 inverse 會計很重要</w:t>
            </w:r>
          </w:p>
        </w:tc>
        <w:tc>
          <w:tcPr>
            <w:tcW w:type="dxa" w:w="27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Delta hedge、gamma scalping、幣本位曝險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Alexander et al. (2023/2024)</w:t>
            </w:r>
          </w:p>
        </w:tc>
        <w:tc>
          <w:tcPr>
            <w:tcW w:type="dxa" w:w="345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需求壓力與市場效率隨期限、時間改善</w:t>
            </w:r>
          </w:p>
        </w:tc>
        <w:tc>
          <w:tcPr>
            <w:tcW w:type="dxa" w:w="27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選擇較液態、至少 15 天期限</w:t>
            </w:r>
          </w:p>
        </w:tc>
      </w:tr>
    </w:tbl>
    <w:p>
      <w:pPr>
        <w:spacing w:after="4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4. BTC 與 ETH 的波動率環境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  <w:cantSplit/>
        </w:trPr>
        <w:tc>
          <w:tcPr>
            <w:tcW w:type="dxa" w:w="79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資產</w:t>
            </w:r>
          </w:p>
        </w:tc>
        <w:tc>
          <w:tcPr>
            <w:tcW w:type="dxa" w:w="108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DVOL 平均</w:t>
            </w:r>
          </w:p>
        </w:tc>
        <w:tc>
          <w:tcPr>
            <w:tcW w:type="dxa" w:w="93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中位</w:t>
            </w:r>
          </w:p>
        </w:tc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P10–P90</w:t>
            </w:r>
          </w:p>
        </w:tc>
        <w:tc>
          <w:tcPr>
            <w:tcW w:type="dxa" w:w="12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進場 ATM IV</w:t>
            </w:r>
          </w:p>
        </w:tc>
        <w:tc>
          <w:tcPr>
            <w:tcW w:type="dxa" w:w="12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持有期 RV</w:t>
            </w:r>
          </w:p>
        </w:tc>
        <w:tc>
          <w:tcPr>
            <w:tcW w:type="dxa" w:w="108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IV−RV</w:t>
            </w:r>
          </w:p>
        </w:tc>
        <w:tc>
          <w:tcPr>
            <w:tcW w:type="dxa" w:w="12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IV&gt;RV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60.9%</w:t>
            </w:r>
          </w:p>
        </w:tc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56.1%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39.4%–88.7%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54.2%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53.1%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+1.1pt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59.0%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74.9%</w:t>
            </w:r>
          </w:p>
        </w:tc>
        <w:tc>
          <w:tcPr>
            <w:tcW w:type="dxa" w:w="93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69.9%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50.0%–107.8%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67.5%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71.6%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-4.1pt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51.7%</w:t>
            </w:r>
          </w:p>
        </w:tc>
      </w:tr>
    </w:tbl>
    <w:p>
      <w:pPr>
        <w:spacing w:after="40"/>
      </w:pPr>
    </w:p>
    <w:p>
      <w:pPr>
        <w:spacing w:after="20"/>
        <w:jc w:val="center"/>
      </w:pPr>
      <w:r>
        <w:rPr>
          <w:rFonts w:ascii="Noto Sans TC" w:hAnsi="Noto Sans TC" w:eastAsia="Noto Sans TC"/>
        </w:rPr>
        <w:drawing>
          <wp:inline xmlns:a="http://schemas.openxmlformats.org/drawingml/2006/main" xmlns:pic="http://schemas.openxmlformats.org/drawingml/2006/picture">
            <wp:extent cx="5943600" cy="3827448"/>
            <wp:docPr id="1" name="Picture 1" title="figure_dvol_vs_rv" descr="圖 1｜Deribit DVOL 與 30 日實現波動。DVOL 自 2021-03 起；較早期橘線只提供實現波動背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vol_vs_r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Noto Sans TC" w:hAnsi="Noto Sans TC" w:eastAsia="Noto Sans TC"/>
          <w:b w:val="0"/>
          <w:i/>
          <w:color w:val="5B6470"/>
          <w:sz w:val="16"/>
        </w:rPr>
        <w:t>圖 1｜Deribit DVOL 與 30 日實現波動。DVOL 自 2021-03 起；較早期橘線只提供實現波動背景。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ETH 的 DVOL 平均與尾部皆高於 BTC。更重要的是，本回測月度週期中，ETH 平均持有期實現波動（71.6%）高於進場 ATM IV（67.5%），而 BTC 僅呈現約 +1.1 個 vol point 的平均正差。這能解釋為何無條件 short-vol 在 ETH 表現更差，但不代表未來 ETH 必定適合 long-vol。</w:t>
      </w:r>
    </w:p>
    <w:p>
      <w:pPr>
        <w:spacing w:after="20"/>
        <w:jc w:val="center"/>
      </w:pPr>
      <w:r>
        <w:rPr>
          <w:rFonts w:ascii="Noto Sans TC" w:hAnsi="Noto Sans TC" w:eastAsia="Noto Sans TC"/>
        </w:rPr>
        <w:drawing>
          <wp:inline xmlns:a="http://schemas.openxmlformats.org/drawingml/2006/main" xmlns:pic="http://schemas.openxmlformats.org/drawingml/2006/picture">
            <wp:extent cx="5715000" cy="2623954"/>
            <wp:docPr id="2" name="Picture 2" title="figure_vrp_distribution" descr="圖 2｜每月進場 ATM IV 減持有期實現波動。正值只表示該月隱含波動較高，並非無風險套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vrp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3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Noto Sans TC" w:hAnsi="Noto Sans TC" w:eastAsia="Noto Sans TC"/>
          <w:b w:val="0"/>
          <w:i/>
          <w:color w:val="5B6470"/>
          <w:sz w:val="16"/>
        </w:rPr>
        <w:t>圖 2｜每月進場 ATM IV 減持有期實現波動。正值只表示該月隱含波動較高，並非無風險套利。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72"/>
            <w:shd w:fill="257A5A"/>
          </w:tcPr>
          <w:p/>
        </w:tc>
        <w:tc>
          <w:tcPr>
            <w:tcW w:type="dxa" w:w="9187"/>
            <w:shd w:fill="E9F5EF"/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資產別判斷</w:t>
            </w:r>
          </w:p>
          <w:p>
            <w:pPr>
              <w:spacing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BTC：較適合先研究現貨覆蓋與有條件收取權利金。ETH：較需要事件／regime filter，無條件賣波動的證據較弱。兩者的尾部與流動性仍會隨市場結構改變。</w:t>
            </w:r>
          </w:p>
        </w:tc>
      </w:tr>
    </w:tbl>
    <w:p>
      <w:pPr>
        <w:spacing w:after="2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5. 策略庫：理論、曝險與適用條件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以下依風險由低至高整理。Delta 只是建倉時的近似；持有期間會因價格、時間與 IV 改變。『有限損失』不等於低風險，尤其四腿策略若以過高槓桿交易，仍可能因保證金、流動性或操作失誤造成重大損失。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5.1 Covered call（現貨＋賣出 OTM call）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保守型收益覆蓋；long delta、short gamma、short vega、positive theta。權利金提供小幅緩衝，上檔在履約價後被截斷，但下跌仍近似持有現貨。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VRP [3]–[5]；covered call 的報酬本質是現貨 beta 與 short call 的混合 [6]。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BTC：樣本內有改善，但前提是投資人願意真正出售上檔。ETH：未優於 HODL；不宜因『收息』敘事忽略大回撤。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5.2 Cash-secured put（現金擔保賣出 OTM put）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以現金預留接貨資金。到期若跌破履約價，相當於用 K 減權利金買入標的；負 gamma、負 vega、正 theta。透過 put–call parity，在理想市場中與 covered call 有相近經濟曝險，但 inverse 會計與摩擦會造成差異。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無套利 put–call parity [1]；尾部保險溢酬 [3]–[5]。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BTC：點估計略負。ETH：小幅正點估計且勝率高，但最差單期 −26.8%，代表接貨風險不可忽略。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5.3 Protective put 與 collar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Protective put 是現貨＋long OTM put；collar 再賣出 OTM call 以融資。前者保留上檔但持續支付保費，後者把上下檔都限制在區間。Collar 對 put/call skew 特別敏感。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無套利保護性組合 [1]；skew、買壓與 jump risk [13][14]。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 collar 的樣本點估計最佳且最大回撤顯著降低；ETH collar 因權利金與標的路徑未見優勢。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5.4 Bull / bear debit spread（方向性有限損失價差）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Bull call spread：買低履約價 call、賣高履約價 call；bear put spread 反之。最大損失是淨權利金，最大獲利受履約價差限制。適合表達方向而非純波動率觀點。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垂直價差的無套利 payoff [1]；90 日動能訊號參考加密資產報酬可預測性 [7]。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本研究的 90D 動能規則在 BTC/ETH 年化皆為負，表示『加密有動能』不代表『固定月度 debit spread』能有效捕捉。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5.5 Long straddle / strangle（買進凸性）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Long ATM straddle 同時買 call 與 put；long strangle 改買 OTM 兩翼。Long gamma、long vega、negative theta；需要實現的路徑波動或 IV 上升足以超過權利金與成本。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實現變異數相對隱含變異數 [3][5]；跳躍與隨機波動 [2][8]；動態對沖 [11][12]。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 無條件 long straddle 顯著負點估計；ETH 為正但成本敏感，較適合低 IV／事件型、小額預算，而非每月固定買入。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5.6 Short strangle（裸賣兩翼）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賣 OTM put 與 OTM call；short gamma、short vega、positive theta。多數月份收取小額權利金，極端月份承受非線性損失。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收取 VRP [3]–[5][9][15]；但 jump risk [2][8][14][16] 是報酬來源也是致命風險。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BTC/ETH 勝率高但年化為負。這正是『賣保險』的典型陷阱；若一定要做，至少使用定義風險翼、嚴格名目上限與事件停手機制。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5.7 Iron condor（有限損失賣波動）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Short 25Δ strangle 外加 long 10Δ wings。最大損失受履約價差限制，但四腿費用、bid/ask 與翼端流動性會侵蝕小額權利金。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同樣來自 VRP，但用遠端翼把 jump loss 截斷 [2]–[5]。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本樣本 BTC/ETH 年化皆負；它比裸賣更容易管理最大損失，卻不是自然具有正 alpha。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5.8 Calendar spread（期限結構交易）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同履約價、不同到期日一買一賣，用於交易 term structure、事件 IV 與 mean reversion。曝險不是單純 long/short vega，因不同期限的 vega、theta 與 skew 都不同。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無套利期限結構與隨機波動；市場效率通常在較長期限改善 [8][18][19][20]。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本文不回測：月初單點快照不足以驗證跨期限平倉與事件後 IV 路徑。正式測試需全鏈 bid/ask 與每日重新估值。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5.9 Risk reversal（方向＋skew）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例如 long OTM call、short OTM put 可建立偏多且暴露於 skew 的部位；反向則偏空。Short put 腿可能使最大下檔非常大。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put–call parity、skew 與買壓 [1][13][14]。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本文不獨立排名，因在一枚幣名目與持有到期設定下，結果很大程度與方向曝險重疊；部署時應先分離 delta 與 skew P&amp;L。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5.10 GARCH IV–RV timing 與 gamma scalping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本研究以過去最多 730 日資料估 Gaussian GARCH(1,1)：預測波動 &gt; 1.10×ATM IV 時買 straddle；&lt;0.90× 時賣 straddle；其餘空手。Gamma scalping 則需持續 delta hedge，把 P&amp;L 更直接連結到 realized variance。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/>
          <w:i w:val="0"/>
          <w:color w:val="16324F"/>
        </w:rPr>
        <w:t>理論基礎：</w:t>
      </w:r>
      <w:r>
        <w:rPr>
          <w:rFonts w:ascii="Noto Sans TC" w:hAnsi="Noto Sans TC" w:eastAsia="Noto Sans TC"/>
          <w:b w:val="0"/>
          <w:i w:val="0"/>
        </w:rPr>
        <w:t>IV 與統計預測差 [10]；delta-hedged gains/VRP [5]；加密動態對沖 [11][12]。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本研究 timing 點估計為正，但屬模型依賴的研究候選。Gamma scalping 未被本月度持有到期回測充分代表。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87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策略</w:t>
            </w:r>
          </w:p>
        </w:tc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Delta</w:t>
            </w:r>
          </w:p>
        </w:tc>
        <w:tc>
          <w:tcPr>
            <w:tcW w:type="dxa" w:w="108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Gamma</w:t>
            </w:r>
          </w:p>
        </w:tc>
        <w:tc>
          <w:tcPr>
            <w:tcW w:type="dxa" w:w="108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Vega</w:t>
            </w:r>
          </w:p>
        </w:tc>
        <w:tc>
          <w:tcPr>
            <w:tcW w:type="dxa" w:w="108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Theta</w:t>
            </w:r>
          </w:p>
        </w:tc>
        <w:tc>
          <w:tcPr>
            <w:tcW w:type="dxa" w:w="30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首要風險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Covered call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現貨下跌、上漲被截斷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Collar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+（受限）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混合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混合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混合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保護成本、上檔受限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Long straddle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近中性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IV crush、時間耗損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Short strangle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近中性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跳躍與清算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Iron condor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近中性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−</w:t>
            </w:r>
          </w:p>
        </w:tc>
        <w:tc>
          <w:tcPr>
            <w:tcW w:type="dxa" w:w="10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+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四腿成本、翼端最大損失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Debit spread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方向性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有限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依結構</w:t>
            </w:r>
          </w:p>
        </w:tc>
        <w:tc>
          <w:tcPr>
            <w:tcW w:type="dxa" w:w="10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通常 −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方向錯誤</w:t>
            </w:r>
          </w:p>
        </w:tc>
      </w:tr>
    </w:tbl>
    <w:p>
      <w:pPr>
        <w:spacing w:after="4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6. 基礎回測設計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6.1 進場、到期與履約價選擇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每月第一個曆日 00:00 UTC 後第一分鐘建立部位；選擇剩餘 18–35 天且最接近的到期日。以精確時間計，平均 DTE 為 BTC 26.8、ETH 26.8 天（範圍 22.3–30.3 天）。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使用共同 ATM strike；25Δ 與 10Δ wings 以各合約 Deribit mark IV 代入零利率 Black–Scholes delta 做『選腿代理』。P&amp;L 使用實際 mark price，而非模型價。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部位持有至到期，不提早停損、獲利了結或滾動；因此結果刻意保持簡單且可重現。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到期指數由 Deribit 六小時歷史指數線性插值，非官方精確 30 分鐘 settlement TWAP。這是最重要的定價限制之一。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6.2 成本、資本與策略定義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基準成本包括 Deribit 官方交易費與交割費 [22]，並對每一腿加計權利金 1% 的滑價。另測試 0%、2%、5% 權利金滑價。Covered call、collar 與 HODL 連續持有現貨，包含相鄰到期與下一次進場之間的現貨變動。Cash-secured put 以履約價級別的現金擔保近似。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策略</w:t>
            </w:r>
          </w:p>
        </w:tc>
        <w:tc>
          <w:tcPr>
            <w:tcW w:type="dxa" w:w="6263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月初建倉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HODL</w:t>
            </w:r>
          </w:p>
        </w:tc>
        <w:tc>
          <w:tcPr>
            <w:tcW w:type="dxa" w:w="626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連續持有 1 coin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Covered Call 25Δ</w:t>
            </w:r>
          </w:p>
        </w:tc>
        <w:tc>
          <w:tcPr>
            <w:tcW w:type="dxa" w:w="626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1 coin spot − 25Δ call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Collar 25Δ/25Δ</w:t>
            </w:r>
          </w:p>
        </w:tc>
        <w:tc>
          <w:tcPr>
            <w:tcW w:type="dxa" w:w="626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1 coin spot + 25Δ put − 25Δ call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Cash-Secured Put 25Δ</w:t>
            </w:r>
          </w:p>
        </w:tc>
        <w:tc>
          <w:tcPr>
            <w:tcW w:type="dxa" w:w="626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現金擔保 − 25Δ put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Short Strangle 25Δ</w:t>
            </w:r>
          </w:p>
        </w:tc>
        <w:tc>
          <w:tcPr>
            <w:tcW w:type="dxa" w:w="626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− 25Δ put − 25Δ call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Iron Condor 10Δ/25Δ</w:t>
            </w:r>
          </w:p>
        </w:tc>
        <w:tc>
          <w:tcPr>
            <w:tcW w:type="dxa" w:w="626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+10Δ put −25Δ put −25Δ call +10Δ call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Long ATM Straddle</w:t>
            </w:r>
          </w:p>
        </w:tc>
        <w:tc>
          <w:tcPr>
            <w:tcW w:type="dxa" w:w="626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+ ATM put + ATM call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GARCH IV–RV Timing</w:t>
            </w:r>
          </w:p>
        </w:tc>
        <w:tc>
          <w:tcPr>
            <w:tcW w:type="dxa" w:w="626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預測／IV 比率超過 1.10 買 straddle；低於 0.90 賣；否則空手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90D Momentum Debit Spread</w:t>
            </w:r>
          </w:p>
        </w:tc>
        <w:tc>
          <w:tcPr>
            <w:tcW w:type="dxa" w:w="626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90 日報酬≥0：bull call spread；否則 bear put spread</w:t>
            </w:r>
          </w:p>
        </w:tc>
      </w:tr>
    </w:tbl>
    <w:p>
      <w:pPr>
        <w:spacing w:after="40"/>
      </w:pP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6.3 樣本完整性與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007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資產</w:t>
            </w:r>
          </w:p>
        </w:tc>
        <w:tc>
          <w:tcPr>
            <w:tcW w:type="dxa" w:w="180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有效週期</w:t>
            </w:r>
          </w:p>
        </w:tc>
        <w:tc>
          <w:tcPr>
            <w:tcW w:type="dxa" w:w="4031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缺漏月</w:t>
            </w:r>
          </w:p>
        </w:tc>
        <w:tc>
          <w:tcPr>
            <w:tcW w:type="dxa" w:w="25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處理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BTC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61 / 63（96.8%）</w:t>
            </w:r>
          </w:p>
        </w:tc>
        <w:tc>
          <w:tcPr>
            <w:tcW w:type="dxa" w:w="4031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2021-10、2021-11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排除，不插補</w:t>
            </w:r>
          </w:p>
        </w:tc>
      </w:tr>
      <w:tr>
        <w:trPr>
          <w:cantSplit/>
        </w:trPr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ETH</w:t>
            </w:r>
          </w:p>
        </w:tc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60 / 63（95.2%）</w:t>
            </w:r>
          </w:p>
        </w:tc>
        <w:tc>
          <w:tcPr>
            <w:tcW w:type="dxa" w:w="4031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2021-11、2022-03、2022-05</w:t>
            </w:r>
          </w:p>
        </w:tc>
        <w:tc>
          <w:tcPr>
            <w:tcW w:type="dxa" w:w="25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排除，不插補</w:t>
            </w:r>
          </w:p>
        </w:tc>
      </w:tr>
    </w:tbl>
    <w:p>
      <w:pPr>
        <w:spacing w:after="40"/>
      </w:pP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其他檢查：重複月度週期為 0；各策略在每月的 strike ordering 全數合理；HODL 逐期複利與直接現貨持有的差異小於 1e−8。缺漏資料不以模型價補齊，避免把估值模型假設偽裝成市場成交。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72"/>
            <w:shd w:fill="D97706"/>
          </w:tcPr>
          <w:p/>
        </w:tc>
        <w:tc>
          <w:tcPr>
            <w:tcW w:type="dxa" w:w="9187"/>
            <w:shd w:fill="FFF2E4"/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報酬率的正確解讀</w:t>
            </w:r>
          </w:p>
          <w:p>
            <w:pPr>
              <w:spacing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純選擇權策略以 1 coin 的美元名目標準化，沒有套用 Deribit portfolio margin、逐日 margin call 或清算；所以可比較策略 P&amp;L 的方向與尾部，但不可直接當作實際保證金資本報酬率。</w:t>
            </w:r>
          </w:p>
        </w:tc>
      </w:tr>
    </w:tbl>
    <w:p>
      <w:pPr>
        <w:spacing w:after="2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7. 回測結果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7.1 完整策略結果</w:t>
      </w:r>
    </w:p>
    <w:p>
      <w:pPr>
        <w:pStyle w:val="Heading3"/>
        <w:keepNext/>
        <w:ind w:left="0" w:firstLine="0"/>
      </w:pPr>
      <w:r>
        <w:rPr>
          <w:rFonts w:ascii="Noto Sans TC" w:hAnsi="Noto Sans TC" w:eastAsia="Noto Sans TC"/>
        </w:rPr>
        <w:t>BTC｜基準成本結果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  <w:cantSplit/>
        </w:trPr>
        <w:tc>
          <w:tcPr>
            <w:tcW w:type="dxa" w:w="223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策略</w:t>
            </w:r>
          </w:p>
        </w:tc>
        <w:tc>
          <w:tcPr>
            <w:tcW w:type="dxa" w:w="7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週期</w:t>
            </w:r>
          </w:p>
        </w:tc>
        <w:tc>
          <w:tcPr>
            <w:tcW w:type="dxa" w:w="7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交易</w:t>
            </w:r>
          </w:p>
        </w:tc>
        <w:tc>
          <w:tcPr>
            <w:tcW w:type="dxa" w:w="1007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年化</w:t>
            </w:r>
          </w:p>
        </w:tc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年化波動</w:t>
            </w:r>
          </w:p>
        </w:tc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最大回撤</w:t>
            </w:r>
          </w:p>
        </w:tc>
        <w:tc>
          <w:tcPr>
            <w:tcW w:type="dxa" w:w="1007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勝率</w:t>
            </w:r>
          </w:p>
        </w:tc>
        <w:tc>
          <w:tcPr>
            <w:tcW w:type="dxa" w:w="136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最差一期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HODL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0.3%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54.1%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-69.5%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54.1%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-30.6%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Covered call 25Δ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7.2%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44.8%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-56.0%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55.7%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-26.9%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Collar 25Δ/25Δ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12.1%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34.1%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-36.5%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54.1%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-15.4%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Cash-secured put 25Δ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-2.8%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19.8%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-39.3%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82.0%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-22.5%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Short strangle 25Δ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-2.1%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26.8%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-44.6%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72.1%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-26.7%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Iron condor 10Δ/25Δ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-1.7%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15.2%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-26.2%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67.2%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-11.3%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Long ATM straddle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-10.7%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32.7%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-54.1%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39.3%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-16.2%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GARCH IV–RV timing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34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3.3%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26.3%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-35.2%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29.5%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-25.0%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90D momentum spread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61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-3.4%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16.4%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-30.0%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37.7%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-7.8%</w:t>
            </w:r>
          </w:p>
        </w:tc>
      </w:tr>
    </w:tbl>
    <w:p>
      <w:pPr>
        <w:spacing w:after="40"/>
      </w:pPr>
    </w:p>
    <w:p>
      <w:pPr>
        <w:pStyle w:val="Heading3"/>
        <w:keepNext/>
        <w:ind w:left="0" w:firstLine="0"/>
      </w:pPr>
      <w:r>
        <w:rPr>
          <w:rFonts w:ascii="Noto Sans TC" w:hAnsi="Noto Sans TC" w:eastAsia="Noto Sans TC"/>
        </w:rPr>
        <w:t>ETH｜基準成本結果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  <w:cantSplit/>
        </w:trPr>
        <w:tc>
          <w:tcPr>
            <w:tcW w:type="dxa" w:w="223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策略</w:t>
            </w:r>
          </w:p>
        </w:tc>
        <w:tc>
          <w:tcPr>
            <w:tcW w:type="dxa" w:w="7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週期</w:t>
            </w:r>
          </w:p>
        </w:tc>
        <w:tc>
          <w:tcPr>
            <w:tcW w:type="dxa" w:w="7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交易</w:t>
            </w:r>
          </w:p>
        </w:tc>
        <w:tc>
          <w:tcPr>
            <w:tcW w:type="dxa" w:w="1007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年化</w:t>
            </w:r>
          </w:p>
        </w:tc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年化波動</w:t>
            </w:r>
          </w:p>
        </w:tc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最大回撤</w:t>
            </w:r>
          </w:p>
        </w:tc>
        <w:tc>
          <w:tcPr>
            <w:tcW w:type="dxa" w:w="1007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勝率</w:t>
            </w:r>
          </w:p>
        </w:tc>
        <w:tc>
          <w:tcPr>
            <w:tcW w:type="dxa" w:w="136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3"/>
              </w:rPr>
              <w:t>最差一期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HODL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-4.3%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77.2%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-73.5%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46.7%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-60.5%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Covered call 25Δ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-9.2%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57.5%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-70.1%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53.3%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-58.6%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Collar 25Δ/25Δ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-8.3%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43.4%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-61.0%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45.0%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-40.9%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Cash-secured put 25Δ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1.6%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22.7%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-37.8%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81.7%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-26.8%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Short strangle 25Δ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-17.9%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35.3%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-73.8%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66.7%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-29.2%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Iron condor 10Δ/25Δ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-12.8%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21.6%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-53.3%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60.0%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-18.4%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Long ATM straddle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3.8%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47.5%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-47.9%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41.7%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-20.0%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GARCH IV–RV timing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38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7.4%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41.0%</w:t>
            </w:r>
          </w:p>
        </w:tc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-55.5%</w:t>
            </w:r>
          </w:p>
        </w:tc>
        <w:tc>
          <w:tcPr>
            <w:tcW w:type="dxa" w:w="1007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33.3%</w:t>
            </w:r>
          </w:p>
        </w:tc>
        <w:tc>
          <w:tcPr>
            <w:tcW w:type="dxa" w:w="136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-39.0%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90D momentum spread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7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60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-3.8%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20.5%</w:t>
            </w:r>
          </w:p>
        </w:tc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-32.5%</w:t>
            </w:r>
          </w:p>
        </w:tc>
        <w:tc>
          <w:tcPr>
            <w:tcW w:type="dxa" w:w="1007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38.3%</w:t>
            </w:r>
          </w:p>
        </w:tc>
        <w:tc>
          <w:tcPr>
            <w:tcW w:type="dxa" w:w="13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3"/>
              </w:rPr>
              <w:t>-9.3%</w:t>
            </w:r>
          </w:p>
        </w:tc>
      </w:tr>
    </w:tbl>
    <w:p>
      <w:pPr>
        <w:spacing w:after="40"/>
      </w:pPr>
    </w:p>
    <w:p>
      <w:pPr>
        <w:spacing w:after="20"/>
        <w:jc w:val="center"/>
      </w:pPr>
      <w:r>
        <w:rPr>
          <w:rFonts w:ascii="Noto Sans TC" w:hAnsi="Noto Sans TC" w:eastAsia="Noto Sans TC"/>
        </w:rPr>
        <w:drawing>
          <wp:inline xmlns:a="http://schemas.openxmlformats.org/drawingml/2006/main" xmlns:pic="http://schemas.openxmlformats.org/drawingml/2006/picture">
            <wp:extent cx="5897880" cy="2946235"/>
            <wp:docPr id="3" name="Picture 3" title="figure_strategy_map" descr="圖 3｜年化報酬與最大回撤的樣本點估計。數字對應圖下方策略；未反映估計不確定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trategy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Noto Sans TC" w:hAnsi="Noto Sans TC" w:eastAsia="Noto Sans TC"/>
          <w:b w:val="0"/>
          <w:i/>
          <w:color w:val="5B6470"/>
          <w:sz w:val="16"/>
        </w:rPr>
        <w:t>圖 3｜年化報酬與最大回撤的樣本點估計。數字對應圖下方策略；未反映估計不確定性。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7.2 保守型覆蓋策略</w:t>
      </w:r>
    </w:p>
    <w:p>
      <w:pPr>
        <w:spacing w:after="20"/>
        <w:jc w:val="center"/>
      </w:pPr>
      <w:r>
        <w:rPr>
          <w:rFonts w:ascii="Noto Sans TC" w:hAnsi="Noto Sans TC" w:eastAsia="Noto Sans TC"/>
        </w:rPr>
        <w:drawing>
          <wp:inline xmlns:a="http://schemas.openxmlformats.org/drawingml/2006/main" xmlns:pic="http://schemas.openxmlformats.org/drawingml/2006/picture">
            <wp:extent cx="5897880" cy="2641224"/>
            <wp:docPr id="4" name="Picture 4" title="figure_income_wealth" descr="圖 4｜HODL、covered call 與 collar 的月度滾動財富指數；現貨腿連續持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income_w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4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Noto Sans TC" w:hAnsi="Noto Sans TC" w:eastAsia="Noto Sans TC"/>
          <w:b w:val="0"/>
          <w:i/>
          <w:color w:val="5B6470"/>
          <w:sz w:val="16"/>
        </w:rPr>
        <w:t>圖 4｜HODL、covered call 與 collar 的月度滾動財富指數；現貨腿連續持有。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 collar 的年化點估計 12.1%、最大回撤 −36.5%，相較 HODL 的 0.3% 與 −69.5% 顯著改善；covered call 年化 7.2%，但最大回撤仍達 −56.0%。這不是因為 option overlay 消除了風險，而是樣本路徑中賣 call 的權利金與 collar 的 put protection 有效改變了報酬分配。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ETH 則不同：HODL 年化 −4.3%，covered call −9.2%，collar −8.3%。Overlay 降低部分波動，卻未改善長期財富；當標的頻繁大幅反彈時，短 call 截斷復甦，上漲權利金不足以補償錯失的凸性。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7.3 波動率策略：勝率與尾部的衝突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BTC short strangle 勝率 72.1%、ETH 66.7%，但年化分別為 −2.1% 與 −17.9%。Iron condor 把損失限制在翼寬內，年化仍為 −1.7% 與 −12.8%。結果支持文獻中的解釋：權利金是尾部風險補償，不是穩定票息；交易者若只看勝率，會系統性低估 rare-event loss。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Long ATM straddle 在 BTC 年化 −10.7%、ETH +3.8%。這與 ETH 樣本中的負 IV−RV 平均差一致。GARCH timing 在 BTC/ETH 的點估計為 +3.3%/+7.4%，但有效交易只有 34/38 次，且門檻與模型選擇可能造成過度配適。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7.4 交易成本敏感度</w:t>
      </w:r>
    </w:p>
    <w:tbl>
      <w:tblPr>
        <w:tblW w:type="dxa" w:w="8856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79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資產</w:t>
            </w:r>
          </w:p>
        </w:tc>
        <w:tc>
          <w:tcPr>
            <w:tcW w:type="dxa" w:w="30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策略</w:t>
            </w:r>
          </w:p>
        </w:tc>
        <w:tc>
          <w:tcPr>
            <w:tcW w:type="dxa" w:w="12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0%</w:t>
            </w:r>
          </w:p>
        </w:tc>
        <w:tc>
          <w:tcPr>
            <w:tcW w:type="dxa" w:w="129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1% 基準</w:t>
            </w:r>
          </w:p>
        </w:tc>
        <w:tc>
          <w:tcPr>
            <w:tcW w:type="dxa" w:w="12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2%</w:t>
            </w:r>
          </w:p>
        </w:tc>
        <w:tc>
          <w:tcPr>
            <w:tcW w:type="dxa" w:w="12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5%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Covered call 25Δ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7.5%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7.2%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7.0%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6.1%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Collar 25Δ/25Δ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12.7%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12.1%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11.4%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9.6%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Short strangle 25Δ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-1.6%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-2.1%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-2.7%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-4.2%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Iron condor 10Δ/25Δ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-1.0%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-1.7%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-2.4%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-4.6%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Long ATM straddle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-9.4%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-10.7%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-12.0%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-15.7%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GARCH IV–RV timing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4.0%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3.3%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2.6%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0.5%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Covered call 25Δ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-8.9%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-9.2%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-9.5%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-10.4%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Collar 25Δ/25Δ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-7.7%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-8.3%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-9.0%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-10.9%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Short strangle 25Δ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-17.3%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-17.9%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-18.5%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-20.2%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Iron condor 10Δ/25Δ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-11.9%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-12.8%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-13.6%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-16.0%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0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Long ATM straddle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5.6%</w:t>
            </w:r>
          </w:p>
        </w:tc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3.8%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1.9%</w:t>
            </w:r>
          </w:p>
        </w:tc>
        <w:tc>
          <w:tcPr>
            <w:tcW w:type="dxa" w:w="12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-3.3%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0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GARCH IV–RV timing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8.6%</w:t>
            </w:r>
          </w:p>
        </w:tc>
        <w:tc>
          <w:tcPr>
            <w:tcW w:type="dxa" w:w="129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7.4%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6.2%</w:t>
            </w:r>
          </w:p>
        </w:tc>
        <w:tc>
          <w:tcPr>
            <w:tcW w:type="dxa" w:w="12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2.7%</w:t>
            </w:r>
          </w:p>
        </w:tc>
      </w:tr>
    </w:tbl>
    <w:p>
      <w:pPr>
        <w:spacing w:after="40"/>
      </w:pP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ETH long straddle 從 0% 滑價的 +5.6% 降至 5% 的 −3.3%；GARCH timing 從 +8.6% 降至 +2.7%。四腿 iron condor 也隨成本惡化。這顯示使用 mark price 的回測若沒有成本壓力測試，容易高估多腿與低權利金策略。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7.5 統計不確定性：3 個月 circular block bootstrap</w:t>
      </w:r>
    </w:p>
    <w:tbl>
      <w:tblPr>
        <w:tblW w:type="dxa" w:w="8352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資產</w:t>
            </w:r>
          </w:p>
        </w:tc>
        <w:tc>
          <w:tcPr>
            <w:tcW w:type="dxa" w:w="32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策略</w:t>
            </w:r>
          </w:p>
        </w:tc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2.5%</w:t>
            </w:r>
          </w:p>
        </w:tc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中位</w:t>
            </w:r>
          </w:p>
        </w:tc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97.5%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HODL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-39.4%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0.3%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63.0%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Covered call 25Δ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-30.0%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7.4%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59.5%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Collar 25Δ/25Δ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-15.4%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11.8%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47.0%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Cash-secured put 25Δ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-19.9%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-2.3%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14.5%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Short strangle 25Δ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-22.9%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-1.4%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22.0%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Iron condor 10Δ/25Δ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-12.9%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-1.5%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10.4%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Long ATM straddle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-29.4%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-11.0%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13.6%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GARCH IV–RV timing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-15.7%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3.2%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26.4%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90D momentum spread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-15.6%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-3.7%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10.3%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HODL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-46.0%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-3.7%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69.5%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Covered call 25Δ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-43.8%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-8.9%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43.2%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Collar 25Δ/25Δ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-33.6%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-8.3%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26.0%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Cash-secured put 25Δ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-16.3%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2.0%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20.3%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Short strangle 25Δ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-40.0%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-17.5%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8.9%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Iron condor 10Δ/25Δ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-26.4%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-12.6%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1.6%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Long ATM straddle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-22.6%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3.8%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40.4%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GARCH IV–RV timing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-21.0%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7.9%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45.7%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ETH</w:t>
            </w:r>
          </w:p>
        </w:tc>
        <w:tc>
          <w:tcPr>
            <w:tcW w:type="dxa" w:w="32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90D momentum spread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-17.1%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-3.9%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11.9%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172"/>
            <w:shd w:fill="A63D40"/>
          </w:tcPr>
          <w:p/>
        </w:tc>
        <w:tc>
          <w:tcPr>
            <w:tcW w:type="dxa" w:w="9187"/>
            <w:shd w:fill="FCEBEC"/>
          </w:tcPr>
          <w:p>
            <w:pPr>
              <w:spacing w:after="40"/>
            </w:pPr>
            <w:r>
              <w:rPr>
                <w:rFonts w:ascii="Noto Sans TC" w:hAnsi="Noto Sans TC" w:eastAsia="Noto Sans TC"/>
                <w:b/>
                <w:i w:val="0"/>
                <w:color w:val="16324F"/>
                <w:sz w:val="20"/>
              </w:rPr>
              <w:t>最重要的統計結論</w:t>
            </w:r>
          </w:p>
          <w:p>
            <w:pPr>
              <w:spacing w:after="0" w:line="264" w:lineRule="auto"/>
            </w:pPr>
            <w:r>
              <w:rPr>
                <w:rFonts w:ascii="Noto Sans TC" w:hAnsi="Noto Sans TC" w:eastAsia="Noto Sans TC"/>
                <w:b w:val="0"/>
                <w:i w:val="0"/>
                <w:sz w:val="18"/>
              </w:rPr>
              <w:t>3,000 次、3 個月區塊的 95% 年化區間，所有策略都涵蓋 0。區塊 bootstrap 只保留部分短期相依，尚未校正多重策略挑選；因此表中的正報酬只能稱為樣本點估計，不能稱為統計顯著。</w:t>
            </w:r>
          </w:p>
        </w:tc>
      </w:tr>
    </w:tbl>
    <w:p>
      <w:pPr>
        <w:spacing w:after="2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8. 可行性結論與實施框架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8.1 BTC：優先順序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第一層｜Collar：若核心目標是降低大回撤且能接受上檔受限，可先用小比例現貨做 25Δ/25Δ 月度 collar；每次建倉前檢查 put skew 與淨 debit，避免保費過高。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第二層｜Covered call：只適用於已決定在某價格出售部分 BTC 的持有者。可用分批名目而非覆蓋全部部位，避免趨勢行情中完全失去上檔。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第三層｜GARCH IV–RV timing：僅作研究帳戶、小風險預算與 walk-forward 測試；不應依本樣本直接部署槓桿。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避免｜固定月度裸賣 strangle：即使 BTC 有小幅平均 IV 優勢，尾部月份仍足以使年化為負。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8.2 ETH：優先順序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第一層｜條件式 long volatility：只有在 ATM IV 相對統計預測偏低、事件催化劑清楚且總權利金預算固定時，研究 long straddle/strangle；預先接受權利金全損。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第二層｜Cash-secured put：僅在本來就願意用履約價接 ETH 時使用；將最差月份與加碼資金納入風險預算。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第三層｜GARCH timing：ETH 點估計較好，但回撤 −55.5%；必須加入成本、再校準與 out-of-sample 停手機制。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避免｜無條件 short strangle / iron condor：ETH 樣本中的實現波動與跳躍讓 short-vol 期望值顯著惡化。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8.3 三種投資人框架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目的</w:t>
            </w:r>
          </w:p>
        </w:tc>
        <w:tc>
          <w:tcPr>
            <w:tcW w:type="dxa" w:w="25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工具</w:t>
            </w:r>
          </w:p>
        </w:tc>
        <w:tc>
          <w:tcPr>
            <w:tcW w:type="dxa" w:w="288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核心限制</w:t>
            </w:r>
          </w:p>
        </w:tc>
        <w:tc>
          <w:tcPr>
            <w:tcW w:type="dxa" w:w="252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5"/>
              </w:rPr>
              <w:t>適用解讀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保守避險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核心現貨＋部分 collar</w:t>
            </w:r>
          </w:p>
        </w:tc>
        <w:tc>
          <w:tcPr>
            <w:tcW w:type="dxa" w:w="28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每月最大保費、下檔 floor、上檔 cap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BTC 較適合；ETH 需更嚴格成本門檻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收益增強</w:t>
            </w:r>
          </w:p>
        </w:tc>
        <w:tc>
          <w:tcPr>
            <w:tcW w:type="dxa" w:w="25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部分 covered call 或 cash-secured put</w:t>
            </w:r>
          </w:p>
        </w:tc>
        <w:tc>
          <w:tcPr>
            <w:tcW w:type="dxa" w:w="28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只覆蓋願意出售／接貨的數量</w:t>
            </w:r>
          </w:p>
        </w:tc>
        <w:tc>
          <w:tcPr>
            <w:tcW w:type="dxa" w:w="25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不要用勝率作為加槓桿理由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積極研究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Long vol 或 IV–RV timing</w:t>
            </w:r>
          </w:p>
        </w:tc>
        <w:tc>
          <w:tcPr>
            <w:tcW w:type="dxa" w:w="28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每期固定 premium-at-risk；不滾損失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先 paper trade 與 walk-forward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機構／專業</w:t>
            </w:r>
          </w:p>
        </w:tc>
        <w:tc>
          <w:tcPr>
            <w:tcW w:type="dxa" w:w="25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Delta-hedged straddle、calendar、skew book</w:t>
            </w:r>
          </w:p>
        </w:tc>
        <w:tc>
          <w:tcPr>
            <w:tcW w:type="dxa" w:w="288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Greeks、流動性、margin、stress 全部即時監控</w:t>
            </w:r>
          </w:p>
        </w:tc>
        <w:tc>
          <w:tcPr>
            <w:tcW w:type="dxa" w:w="252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5"/>
              </w:rPr>
              <w:t>需要逐筆資料與交易基礎設施</w:t>
            </w:r>
          </w:p>
        </w:tc>
      </w:tr>
    </w:tbl>
    <w:p>
      <w:pPr>
        <w:spacing w:after="40"/>
      </w:pP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8.4 風險控制清單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用最大可能損失與 stress loss 定名目，不用收取權利金或歷史勝率定名目。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裸 short option 若非專業保證金帳戶，改成有翼的定義風險價差；仍需限制總翼寬風險。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進場前檢查 bid/ask、order book depth、標記價偏離與結算日流動性。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把 expiry、strike、delta、IV、vega、gamma、theta、premium-at-risk、margin buffer 記錄成交易前快照。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對 ETF／監管公告、協議升級、重大宏觀數據與交易所事件建立事件日曆；事件前後採不同門檻。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設定模型失效條件：連續若干期 forecast error、滑價超標、或市場結構改變時暫停。</w:t>
      </w:r>
    </w:p>
    <w:p>
      <w:pPr>
        <w:pStyle w:val="ListBullet"/>
        <w:spacing w:after="60" w:line="269" w:lineRule="auto"/>
      </w:pPr>
      <w:r>
        <w:rPr>
          <w:rFonts w:ascii="Noto Sans TC" w:hAnsi="Noto Sans TC" w:eastAsia="Noto Sans TC"/>
          <w:b w:val="0"/>
          <w:i w:val="0"/>
        </w:rPr>
        <w:t>BTC 與 ETH 不共用同一 VRP 假設；每個資產獨立估計與配置。</w:t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9. 限制、偏誤與下一階段研究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限制</w:t>
            </w:r>
          </w:p>
        </w:tc>
        <w:tc>
          <w:tcPr>
            <w:tcW w:type="dxa" w:w="338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可能影響</w:t>
            </w:r>
          </w:p>
        </w:tc>
        <w:tc>
          <w:tcPr>
            <w:tcW w:type="dxa" w:w="4176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4"/>
              </w:rPr>
              <w:t>改進方式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Mark price 偏誤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標記價可估值但未必能成交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使用歷史 bid/ask、深度與 market impact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結算近似</w:t>
            </w:r>
          </w:p>
        </w:tc>
        <w:tc>
          <w:tcPr>
            <w:tcW w:type="dxa" w:w="338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6 小時指數插值非 30 分鐘官方 TWAP</w:t>
            </w:r>
          </w:p>
        </w:tc>
        <w:tc>
          <w:tcPr>
            <w:tcW w:type="dxa" w:w="417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重建每秒／每分鐘 index settlement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保證金與清算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純選擇權名目報酬未模擬 margin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套用 Deribit portfolio margin、逐時清算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缺漏月份</w:t>
            </w:r>
          </w:p>
        </w:tc>
        <w:tc>
          <w:tcPr>
            <w:tcW w:type="dxa" w:w="338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BTC 2、ETH 3 個月缺少完整腿</w:t>
            </w:r>
          </w:p>
        </w:tc>
        <w:tc>
          <w:tcPr>
            <w:tcW w:type="dxa" w:w="417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保留缺漏、改用更完整逐筆 archive；不模型插補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樣本與 regime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約 5 年，包含少數大型事件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rolling / expanding walk-forward、跨 regime holdout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多重策略選擇</w:t>
            </w:r>
          </w:p>
        </w:tc>
        <w:tc>
          <w:tcPr>
            <w:tcW w:type="dxa" w:w="338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比較 8 個策略容易 data snooping</w:t>
            </w:r>
          </w:p>
        </w:tc>
        <w:tc>
          <w:tcPr>
            <w:tcW w:type="dxa" w:w="417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預先登錄規則、White Reality Check / SPA 類檢定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利率／資金成本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BS 選腿代理採 0 利率，未含 collateral yield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加入美元利率、借幣、永續 funding 與機會成本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Delta hedge</w:t>
            </w:r>
          </w:p>
        </w:tc>
        <w:tc>
          <w:tcPr>
            <w:tcW w:type="dxa" w:w="338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持有到期不是 gamma scalping</w:t>
            </w:r>
          </w:p>
        </w:tc>
        <w:tc>
          <w:tcPr>
            <w:tcW w:type="dxa" w:w="4176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分鐘級 hedge、手續費、inventory 與跳躍分解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稅務與操作</w:t>
            </w:r>
          </w:p>
        </w:tc>
        <w:tc>
          <w:tcPr>
            <w:tcW w:type="dxa" w:w="33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未含稅、託管、API/對手方風險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4"/>
              </w:rPr>
              <w:t>依實際法人與司法管轄區另做評估</w:t>
            </w:r>
          </w:p>
        </w:tc>
      </w:tr>
    </w:tbl>
    <w:p>
      <w:pPr>
        <w:spacing w:after="40"/>
      </w:pP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9.1 建議的高擬真回測規格</w:t>
      </w:r>
    </w:p>
    <w:p>
      <w:pPr>
        <w:pStyle w:val="ListNumber"/>
        <w:spacing w:after="60"/>
      </w:pPr>
      <w:r>
        <w:rPr>
          <w:rFonts w:ascii="Noto Sans TC" w:hAnsi="Noto Sans TC" w:eastAsia="Noto Sans TC"/>
          <w:b w:val="0"/>
          <w:i w:val="0"/>
        </w:rPr>
        <w:t>取得 Deribit tick-level options book、trades、index 與 greeks；用可成交 bid/ask 模擬進出場。</w:t>
      </w:r>
    </w:p>
    <w:p>
      <w:pPr>
        <w:pStyle w:val="ListNumber"/>
        <w:spacing w:after="60"/>
      </w:pPr>
      <w:r>
        <w:rPr>
          <w:rFonts w:ascii="Noto Sans TC" w:hAnsi="Noto Sans TC" w:eastAsia="Noto Sans TC"/>
          <w:b w:val="0"/>
          <w:i w:val="0"/>
        </w:rPr>
        <w:t>按官方 30 分鐘 capped-median index 方法重建 settlement；驗證每個到期日誤差。</w:t>
      </w:r>
    </w:p>
    <w:p>
      <w:pPr>
        <w:pStyle w:val="ListNumber"/>
        <w:spacing w:after="60"/>
      </w:pPr>
      <w:r>
        <w:rPr>
          <w:rFonts w:ascii="Noto Sans TC" w:hAnsi="Noto Sans TC" w:eastAsia="Noto Sans TC"/>
          <w:b w:val="0"/>
          <w:i w:val="0"/>
        </w:rPr>
        <w:t>加入逐時 portfolio margin、margin buffer、清算、借幣與 collateral yield。</w:t>
      </w:r>
    </w:p>
    <w:p>
      <w:pPr>
        <w:pStyle w:val="ListNumber"/>
        <w:spacing w:after="60"/>
      </w:pPr>
      <w:r>
        <w:rPr>
          <w:rFonts w:ascii="Noto Sans TC" w:hAnsi="Noto Sans TC" w:eastAsia="Noto Sans TC"/>
          <w:b w:val="0"/>
          <w:i w:val="0"/>
        </w:rPr>
        <w:t>把 GARCH、HAR-RV、jump-robust realized volatility、option-implied measures 放入 walk-forward model competition。</w:t>
      </w:r>
    </w:p>
    <w:p>
      <w:pPr>
        <w:pStyle w:val="ListNumber"/>
        <w:spacing w:after="60"/>
      </w:pPr>
      <w:r>
        <w:rPr>
          <w:rFonts w:ascii="Noto Sans TC" w:hAnsi="Noto Sans TC" w:eastAsia="Noto Sans TC"/>
          <w:b w:val="0"/>
          <w:i w:val="0"/>
        </w:rPr>
        <w:t>將報酬拆成 delta、gamma/realized variance、vega/IV change、theta、skew、fees 與 inverse currency translation。</w:t>
      </w:r>
    </w:p>
    <w:p>
      <w:pPr>
        <w:pStyle w:val="ListNumber"/>
        <w:spacing w:after="60"/>
      </w:pPr>
      <w:r>
        <w:rPr>
          <w:rFonts w:ascii="Noto Sans TC" w:hAnsi="Noto Sans TC" w:eastAsia="Noto Sans TC"/>
          <w:b w:val="0"/>
          <w:i w:val="0"/>
        </w:rPr>
        <w:t>使用預先固定策略、rolling holdout 與多重檢定；只有通過樣本外、成本與 stress 才考慮小額實盤。</w:t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10. 結論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本研究沒有找到可以被稱為穩定套利的 BTC/ETH 選擇權策略。真正可被支持的結論較務實：策略必須與投資人的風險用途對齊；BTC 與 ETH 的波動率環境不能混為一談；高勝率 short-vol 最需要尾部風險預算；多腿與 long-vol 最需要成本控制。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在基準回測中，BTC collar 與 covered call 的點估計相對較佳，ETH 則是 GARCH IV–RV timing 與 long straddle；但所有 bootstrap 95% 區間都涵蓋 0。故合理的下一步不是放大名目，而是以本文 Notebook 為起點，補上逐筆報價、精確結算、保證金與 walk-forward，再判斷是否具有可部署性。</w:t>
      </w:r>
    </w:p>
    <w:p>
      <w:r>
        <w:rPr>
          <w:rFonts w:ascii="Noto Sans TC" w:hAnsi="Noto Sans TC" w:eastAsia="Noto Sans TC"/>
        </w:rPr>
        <w:br w:type="page"/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附錄 A｜計算式與指標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5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7343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定義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實現波動</w:t>
            </w:r>
          </w:p>
        </w:tc>
        <w:tc>
          <w:tcPr>
            <w:tcW w:type="dxa" w:w="734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std(日對數報酬) × √365（圖表）；持有期以實際週期年化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Vol spread</w:t>
            </w:r>
          </w:p>
        </w:tc>
        <w:tc>
          <w:tcPr>
            <w:tcW w:type="dxa" w:w="734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進場 ATM mark IV − 持有期 realized volatility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年化報酬</w:t>
            </w:r>
          </w:p>
        </w:tc>
        <w:tc>
          <w:tcPr>
            <w:tcW w:type="dxa" w:w="734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(∏(1+rₘ))^(12/N) − 1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年化波動</w:t>
            </w:r>
          </w:p>
        </w:tc>
        <w:tc>
          <w:tcPr>
            <w:tcW w:type="dxa" w:w="734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std(rₘ) × √12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最大回撤</w:t>
            </w:r>
          </w:p>
        </w:tc>
        <w:tc>
          <w:tcPr>
            <w:tcW w:type="dxa" w:w="734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min(Wealthₜ / maxₛ≤ₜ Wealthₛ − 1)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勝率</w:t>
            </w:r>
          </w:p>
        </w:tc>
        <w:tc>
          <w:tcPr>
            <w:tcW w:type="dxa" w:w="7343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每月 notional return &gt; 0 的比例；空手月在 timing 策略中計為非勝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Bootstrap</w:t>
            </w:r>
          </w:p>
        </w:tc>
        <w:tc>
          <w:tcPr>
            <w:tcW w:type="dxa" w:w="734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3 個月 circular blocks、3,000 次，重新計算年化幾何報酬</w:t>
            </w:r>
          </w:p>
        </w:tc>
      </w:tr>
    </w:tbl>
    <w:p>
      <w:pPr>
        <w:spacing w:after="40"/>
      </w:pP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附錄 B｜訊號與樣本補充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項目</w:t>
            </w:r>
          </w:p>
        </w:tc>
        <w:tc>
          <w:tcPr>
            <w:tcW w:type="dxa" w:w="482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規則／訊號</w:t>
            </w:r>
          </w:p>
        </w:tc>
        <w:tc>
          <w:tcPr>
            <w:tcW w:type="dxa" w:w="2304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BTC GARCH timing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Long 31、Short 3、Flat 27</w:t>
            </w:r>
          </w:p>
        </w:tc>
        <w:tc>
          <w:tcPr>
            <w:tcW w:type="dxa" w:w="23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有效交易 34 / 61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ETH GARCH timing</w:t>
            </w:r>
          </w:p>
        </w:tc>
        <w:tc>
          <w:tcPr>
            <w:tcW w:type="dxa" w:w="48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Long 33、Short 5、Flat 22</w:t>
            </w:r>
          </w:p>
        </w:tc>
        <w:tc>
          <w:tcPr>
            <w:tcW w:type="dxa" w:w="230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有效交易 38 / 60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BTC 動能價差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90D 報酬≥0 選 bull call，否則 bear put</w:t>
            </w:r>
          </w:p>
        </w:tc>
        <w:tc>
          <w:tcPr>
            <w:tcW w:type="dxa" w:w="23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年化 −3.4%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ETH 動能價差</w:t>
            </w:r>
          </w:p>
        </w:tc>
        <w:tc>
          <w:tcPr>
            <w:tcW w:type="dxa" w:w="482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同上</w:t>
            </w:r>
          </w:p>
        </w:tc>
        <w:tc>
          <w:tcPr>
            <w:tcW w:type="dxa" w:w="2304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年化 −3.8%</w:t>
            </w:r>
          </w:p>
        </w:tc>
      </w:tr>
    </w:tbl>
    <w:p>
      <w:pPr>
        <w:spacing w:after="40"/>
      </w:pPr>
    </w:p>
    <w:tbl>
      <w:tblPr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15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資產</w:t>
            </w:r>
          </w:p>
        </w:tc>
        <w:tc>
          <w:tcPr>
            <w:tcW w:type="dxa" w:w="1440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週期</w:t>
            </w:r>
          </w:p>
        </w:tc>
        <w:tc>
          <w:tcPr>
            <w:tcW w:type="dxa" w:w="1872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平均 DTE</w:t>
            </w:r>
          </w:p>
        </w:tc>
        <w:tc>
          <w:tcPr>
            <w:tcW w:type="dxa" w:w="172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最短</w:t>
            </w:r>
          </w:p>
        </w:tc>
        <w:tc>
          <w:tcPr>
            <w:tcW w:type="dxa" w:w="1728"/>
            <w:shd w:fill="16324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i w:val="0"/>
                <w:color w:val="FFFFFF"/>
                <w:sz w:val="16"/>
              </w:rPr>
              <w:t>最長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BTC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26.8</w:t>
            </w:r>
          </w:p>
        </w:tc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22.3</w:t>
            </w:r>
          </w:p>
        </w:tc>
        <w:tc>
          <w:tcPr>
            <w:tcW w:type="dxa" w:w="17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30.3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left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ETH</w:t>
            </w:r>
          </w:p>
        </w:tc>
        <w:tc>
          <w:tcPr>
            <w:tcW w:type="dxa" w:w="1440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872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26.8</w:t>
            </w:r>
          </w:p>
        </w:tc>
        <w:tc>
          <w:tcPr>
            <w:tcW w:type="dxa" w:w="172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22.3</w:t>
            </w:r>
          </w:p>
        </w:tc>
        <w:tc>
          <w:tcPr>
            <w:tcW w:type="dxa" w:w="1728"/>
            <w:vAlign w:val="center"/>
            <w:shd w:fill="F2F4F6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</w:tcPr>
          <w:p>
            <w:pPr>
              <w:spacing w:after="0" w:line="245" w:lineRule="auto"/>
              <w:jc w:val="center"/>
            </w:pPr>
            <w:r>
              <w:rPr>
                <w:rFonts w:ascii="Noto Sans TC" w:hAnsi="Noto Sans TC" w:eastAsia="Noto Sans TC"/>
                <w:b w:val="0"/>
                <w:i w:val="0"/>
                <w:sz w:val="16"/>
              </w:rPr>
              <w:t>30.3</w:t>
            </w:r>
          </w:p>
        </w:tc>
      </w:tr>
    </w:tbl>
    <w:p>
      <w:pPr>
        <w:spacing w:after="40"/>
      </w:pPr>
    </w:p>
    <w:p>
      <w:r>
        <w:rPr>
          <w:rFonts w:ascii="Noto Sans TC" w:hAnsi="Noto Sans TC" w:eastAsia="Noto Sans TC"/>
        </w:rPr>
        <w:br w:type="page"/>
      </w:r>
    </w:p>
    <w:p>
      <w:pPr>
        <w:pStyle w:val="Heading1"/>
        <w:keepNext/>
        <w:ind w:left="0" w:firstLine="0"/>
      </w:pPr>
      <w:r>
        <w:rPr>
          <w:rFonts w:ascii="Noto Sans TC" w:hAnsi="Noto Sans TC" w:eastAsia="Noto Sans TC"/>
        </w:rPr>
        <w:t>附錄 C｜資料來源與參考文獻</w:t>
      </w:r>
    </w:p>
    <w:p>
      <w:pPr>
        <w:spacing w:after="80"/>
        <w:ind w:left="115" w:hanging="115"/>
      </w:pPr>
      <w:hyperlink r:id="rId15">
        <w:r>
          <w:rPr>
            <w:rFonts w:ascii="Noto Sans TC" w:hAnsi="Noto Sans TC" w:eastAsia="Noto Sans TC"/>
            <w:color w:val="1F5A7A"/>
            <w:u w:val="single"/>
          </w:rPr>
          <w:t>[1] Black, F. &amp; Scholes, M. (1973). The Pricing of Options and Corporate Liabilities. Journal of Political Economy.</w:t>
        </w:r>
      </w:hyperlink>
    </w:p>
    <w:p>
      <w:pPr>
        <w:spacing w:after="80"/>
        <w:ind w:left="115" w:hanging="115"/>
      </w:pPr>
      <w:hyperlink r:id="rId16">
        <w:r>
          <w:rPr>
            <w:rFonts w:ascii="Noto Sans TC" w:hAnsi="Noto Sans TC" w:eastAsia="Noto Sans TC"/>
            <w:color w:val="1F5A7A"/>
            <w:u w:val="single"/>
          </w:rPr>
          <w:t>[2] Merton, R. C. (1976). Option Pricing When Underlying Stock Returns Are Discontinuous. Journal of Financial Economics.</w:t>
        </w:r>
      </w:hyperlink>
    </w:p>
    <w:p>
      <w:pPr>
        <w:spacing w:after="80"/>
        <w:ind w:left="115" w:hanging="115"/>
      </w:pPr>
      <w:hyperlink r:id="rId17">
        <w:r>
          <w:rPr>
            <w:rFonts w:ascii="Noto Sans TC" w:hAnsi="Noto Sans TC" w:eastAsia="Noto Sans TC"/>
            <w:color w:val="1F5A7A"/>
            <w:u w:val="single"/>
          </w:rPr>
          <w:t>[3] Carr, P. &amp; Wu, L. (2009). Variance Risk Premiums. Review of Financial Studies.</w:t>
        </w:r>
      </w:hyperlink>
    </w:p>
    <w:p>
      <w:pPr>
        <w:spacing w:after="80"/>
        <w:ind w:left="115" w:hanging="115"/>
      </w:pPr>
      <w:hyperlink r:id="rId18">
        <w:r>
          <w:rPr>
            <w:rFonts w:ascii="Noto Sans TC" w:hAnsi="Noto Sans TC" w:eastAsia="Noto Sans TC"/>
            <w:color w:val="1F5A7A"/>
            <w:u w:val="single"/>
          </w:rPr>
          <w:t>[4] Bollerslev, T., Tauchen, G. &amp; Zhou, H. (2009). Expected Stock Returns and Variance Risk Premia. Review of Financial Studies.</w:t>
        </w:r>
      </w:hyperlink>
    </w:p>
    <w:p>
      <w:pPr>
        <w:spacing w:after="80"/>
        <w:ind w:left="115" w:hanging="115"/>
      </w:pPr>
      <w:hyperlink r:id="rId19">
        <w:r>
          <w:rPr>
            <w:rFonts w:ascii="Noto Sans TC" w:hAnsi="Noto Sans TC" w:eastAsia="Noto Sans TC"/>
            <w:color w:val="1F5A7A"/>
            <w:u w:val="single"/>
          </w:rPr>
          <w:t>[5] Bakshi, G. &amp; Kapadia, N. (2003). Delta-Hedged Gains and the Negative Market Volatility Risk Premium. Review of Financial Studies.</w:t>
        </w:r>
      </w:hyperlink>
    </w:p>
    <w:p>
      <w:pPr>
        <w:spacing w:after="80"/>
        <w:ind w:left="115" w:hanging="115"/>
      </w:pPr>
      <w:hyperlink r:id="rId20">
        <w:r>
          <w:rPr>
            <w:rFonts w:ascii="Noto Sans TC" w:hAnsi="Noto Sans TC" w:eastAsia="Noto Sans TC"/>
            <w:color w:val="1F5A7A"/>
            <w:u w:val="single"/>
          </w:rPr>
          <w:t>[6] Israelov, R. &amp; Nielsen, L. N. (2014). Covered Calls Uncovered. SSRN working paper.</w:t>
        </w:r>
      </w:hyperlink>
    </w:p>
    <w:p>
      <w:pPr>
        <w:spacing w:after="80"/>
        <w:ind w:left="115" w:hanging="115"/>
      </w:pPr>
      <w:hyperlink r:id="rId21">
        <w:r>
          <w:rPr>
            <w:rFonts w:ascii="Noto Sans TC" w:hAnsi="Noto Sans TC" w:eastAsia="Noto Sans TC"/>
            <w:color w:val="1F5A7A"/>
            <w:u w:val="single"/>
          </w:rPr>
          <w:t>[7] Liu, Y. &amp; Tsyvinski, A. (2021). Risks and Returns of Cryptocurrency. Review of Financial Studies.</w:t>
        </w:r>
      </w:hyperlink>
    </w:p>
    <w:p>
      <w:pPr>
        <w:spacing w:after="80"/>
        <w:ind w:left="115" w:hanging="115"/>
      </w:pPr>
      <w:hyperlink r:id="rId22">
        <w:r>
          <w:rPr>
            <w:rFonts w:ascii="Noto Sans TC" w:hAnsi="Noto Sans TC" w:eastAsia="Noto Sans TC"/>
            <w:color w:val="1F5A7A"/>
            <w:u w:val="single"/>
          </w:rPr>
          <w:t>[8] Hou, A. J., Wang, W., Chen, C. Y.-H. &amp; Härdle, W. K. Pricing Cryptocurrency Options. Journal of Financial Econometrics.</w:t>
        </w:r>
      </w:hyperlink>
    </w:p>
    <w:p>
      <w:pPr>
        <w:spacing w:after="80"/>
        <w:ind w:left="115" w:hanging="115"/>
      </w:pPr>
      <w:hyperlink r:id="rId23">
        <w:r>
          <w:rPr>
            <w:rFonts w:ascii="Noto Sans TC" w:hAnsi="Noto Sans TC" w:eastAsia="Noto Sans TC"/>
            <w:color w:val="1F5A7A"/>
            <w:u w:val="single"/>
          </w:rPr>
          <w:t>[9] Alexander, C. &amp; Imeraj, A. (2020). The Bitcoin VIX and Its Variance Risk Premium. Journal of Alternative Investments.</w:t>
        </w:r>
      </w:hyperlink>
    </w:p>
    <w:p>
      <w:pPr>
        <w:spacing w:after="80"/>
        <w:ind w:left="115" w:hanging="115"/>
      </w:pPr>
      <w:hyperlink r:id="rId24">
        <w:r>
          <w:rPr>
            <w:rFonts w:ascii="Noto Sans TC" w:hAnsi="Noto Sans TC" w:eastAsia="Noto Sans TC"/>
            <w:color w:val="1F5A7A"/>
            <w:u w:val="single"/>
          </w:rPr>
          <w:t>[10] Chi, Y. &amp; Hao, W. (2021). Volatility Models and Option Trading in Bitcoin Markets. Journal of International Financial Markets, Institutions and Money.</w:t>
        </w:r>
      </w:hyperlink>
    </w:p>
    <w:p>
      <w:pPr>
        <w:spacing w:after="80"/>
        <w:ind w:left="115" w:hanging="115"/>
      </w:pPr>
      <w:hyperlink r:id="rId25">
        <w:r>
          <w:rPr>
            <w:rFonts w:ascii="Noto Sans TC" w:hAnsi="Noto Sans TC" w:eastAsia="Noto Sans TC"/>
            <w:color w:val="1F5A7A"/>
            <w:u w:val="single"/>
          </w:rPr>
          <w:t>[11] Matic, J., Packham, N. &amp; Härdle, W. K. (2023). Hedging Cryptocurrency Options. Review of Derivatives Research.</w:t>
        </w:r>
      </w:hyperlink>
    </w:p>
    <w:p>
      <w:pPr>
        <w:spacing w:after="80"/>
        <w:ind w:left="115" w:hanging="115"/>
      </w:pPr>
      <w:hyperlink r:id="rId26">
        <w:r>
          <w:rPr>
            <w:rFonts w:ascii="Noto Sans TC" w:hAnsi="Noto Sans TC" w:eastAsia="Noto Sans TC"/>
            <w:color w:val="1F5A7A"/>
            <w:u w:val="single"/>
          </w:rPr>
          <w:t>[12] Lucic, V. &amp; Sepp, A. (2024). Inverse Options and Crypto Option Hedging. Quantitative Finance.</w:t>
        </w:r>
      </w:hyperlink>
    </w:p>
    <w:p>
      <w:pPr>
        <w:spacing w:after="80"/>
        <w:ind w:left="115" w:hanging="115"/>
      </w:pPr>
      <w:hyperlink r:id="rId27">
        <w:r>
          <w:rPr>
            <w:rFonts w:ascii="Noto Sans TC" w:hAnsi="Noto Sans TC" w:eastAsia="Noto Sans TC"/>
            <w:color w:val="1F5A7A"/>
            <w:u w:val="single"/>
          </w:rPr>
          <w:t>[13] Alexander, C. et al. (2023). Net Buying Pressure and the Information in Bitcoin Option Trades. Journal of Financial Markets.</w:t>
        </w:r>
      </w:hyperlink>
    </w:p>
    <w:p>
      <w:pPr>
        <w:spacing w:after="80"/>
        <w:ind w:left="115" w:hanging="115"/>
      </w:pPr>
      <w:hyperlink r:id="rId28">
        <w:r>
          <w:rPr>
            <w:rFonts w:ascii="Noto Sans TC" w:hAnsi="Noto Sans TC" w:eastAsia="Noto Sans TC"/>
            <w:color w:val="1F5A7A"/>
            <w:u w:val="single"/>
          </w:rPr>
          <w:t>[14] Chen, C. Y.-H., Deng, K. &amp; Nie, P. (2024). Implied Volatility Slopes and Cryptocurrency Jumps. Operations Research Letters.</w:t>
        </w:r>
      </w:hyperlink>
    </w:p>
    <w:p>
      <w:pPr>
        <w:spacing w:after="80"/>
        <w:ind w:left="115" w:hanging="115"/>
      </w:pPr>
      <w:hyperlink r:id="rId29">
        <w:r>
          <w:rPr>
            <w:rFonts w:ascii="Noto Sans TC" w:hAnsi="Noto Sans TC" w:eastAsia="Noto Sans TC"/>
            <w:color w:val="1F5A7A"/>
            <w:u w:val="single"/>
          </w:rPr>
          <w:t>[15] Almeida, C. et al. (2024). Risk Premia in the Bitcoin Market. arXiv.</w:t>
        </w:r>
      </w:hyperlink>
    </w:p>
    <w:p>
      <w:pPr>
        <w:spacing w:after="80"/>
        <w:ind w:left="115" w:hanging="115"/>
      </w:pPr>
      <w:hyperlink r:id="rId30">
        <w:r>
          <w:rPr>
            <w:rFonts w:ascii="Noto Sans TC" w:hAnsi="Noto Sans TC" w:eastAsia="Noto Sans TC"/>
            <w:color w:val="1F5A7A"/>
            <w:u w:val="single"/>
          </w:rPr>
          <w:t>[16] Liu, Y., Packham, N. &amp; Sepp, A. (2025). Cryptocurrency Jump Risk Premia. arXiv.</w:t>
        </w:r>
      </w:hyperlink>
    </w:p>
    <w:p>
      <w:pPr>
        <w:spacing w:after="80"/>
        <w:ind w:left="115" w:hanging="115"/>
      </w:pPr>
      <w:hyperlink r:id="rId31">
        <w:r>
          <w:rPr>
            <w:rFonts w:ascii="Noto Sans TC" w:hAnsi="Noto Sans TC" w:eastAsia="Noto Sans TC"/>
            <w:color w:val="1F5A7A"/>
            <w:u w:val="single"/>
          </w:rPr>
          <w:t>[17] Alexander, C., Chen, C. Y.-H. &amp; Imeraj, A. (2023). Crypto Quanto and Inverse Options. Mathematical Finance.</w:t>
        </w:r>
      </w:hyperlink>
    </w:p>
    <w:p>
      <w:pPr>
        <w:spacing w:after="80"/>
        <w:ind w:left="115" w:hanging="115"/>
      </w:pPr>
      <w:hyperlink r:id="rId32">
        <w:r>
          <w:rPr>
            <w:rFonts w:ascii="Noto Sans TC" w:hAnsi="Noto Sans TC" w:eastAsia="Noto Sans TC"/>
            <w:color w:val="1F5A7A"/>
            <w:u w:val="single"/>
          </w:rPr>
          <w:t>[18] Alexander, C. et al. Arbitrage Efficiency and the Maturity Structure of Crypto Options. Journal of Financial Markets.</w:t>
        </w:r>
      </w:hyperlink>
    </w:p>
    <w:p>
      <w:pPr>
        <w:spacing w:after="80"/>
        <w:ind w:left="115" w:hanging="115"/>
      </w:pPr>
      <w:hyperlink r:id="rId33">
        <w:r>
          <w:rPr>
            <w:rFonts w:ascii="Noto Sans TC" w:hAnsi="Noto Sans TC" w:eastAsia="Noto Sans TC"/>
            <w:color w:val="1F5A7A"/>
            <w:u w:val="single"/>
          </w:rPr>
          <w:t>[19] Zulfiqar, N. et al. (2021). Estimation and Stylized Facts of Cryptocurrency Implied Volatility. Risks.</w:t>
        </w:r>
      </w:hyperlink>
    </w:p>
    <w:p>
      <w:pPr>
        <w:spacing w:after="80"/>
        <w:ind w:left="115" w:hanging="115"/>
      </w:pPr>
      <w:hyperlink r:id="rId34">
        <w:r>
          <w:rPr>
            <w:rFonts w:ascii="Noto Sans TC" w:hAnsi="Noto Sans TC" w:eastAsia="Noto Sans TC"/>
            <w:color w:val="1F5A7A"/>
            <w:u w:val="single"/>
          </w:rPr>
          <w:t>[20] Wöbbeking, F. (2021). Cryptocurrency Volatility Markets. Digital Finance.</w:t>
        </w:r>
      </w:hyperlink>
    </w:p>
    <w:p>
      <w:pPr>
        <w:spacing w:after="80"/>
        <w:ind w:left="115" w:hanging="115"/>
      </w:pPr>
      <w:hyperlink r:id="rId35">
        <w:r>
          <w:rPr>
            <w:rFonts w:ascii="Noto Sans TC" w:hAnsi="Noto Sans TC" w:eastAsia="Noto Sans TC"/>
            <w:color w:val="1F5A7A"/>
            <w:u w:val="single"/>
          </w:rPr>
          <w:t>[21] Deribit. Inverse Options — contract specification.</w:t>
        </w:r>
      </w:hyperlink>
    </w:p>
    <w:p>
      <w:pPr>
        <w:spacing w:after="80"/>
        <w:ind w:left="115" w:hanging="115"/>
      </w:pPr>
      <w:hyperlink r:id="rId36">
        <w:r>
          <w:rPr>
            <w:rFonts w:ascii="Noto Sans TC" w:hAnsi="Noto Sans TC" w:eastAsia="Noto Sans TC"/>
            <w:color w:val="1F5A7A"/>
            <w:u w:val="single"/>
          </w:rPr>
          <w:t>[22] Deribit. Fees.</w:t>
        </w:r>
      </w:hyperlink>
    </w:p>
    <w:p>
      <w:pPr>
        <w:spacing w:after="80"/>
        <w:ind w:left="115" w:hanging="115"/>
      </w:pPr>
      <w:hyperlink r:id="rId37">
        <w:r>
          <w:rPr>
            <w:rFonts w:ascii="Noto Sans TC" w:hAnsi="Noto Sans TC" w:eastAsia="Noto Sans TC"/>
            <w:color w:val="1F5A7A"/>
            <w:u w:val="single"/>
          </w:rPr>
          <w:t>[23] Deribit. Settlement.</w:t>
        </w:r>
      </w:hyperlink>
    </w:p>
    <w:p>
      <w:pPr>
        <w:spacing w:after="80"/>
        <w:ind w:left="115" w:hanging="115"/>
      </w:pPr>
      <w:hyperlink r:id="rId38">
        <w:r>
          <w:rPr>
            <w:rFonts w:ascii="Noto Sans TC" w:hAnsi="Noto Sans TC" w:eastAsia="Noto Sans TC"/>
            <w:color w:val="1F5A7A"/>
            <w:u w:val="single"/>
          </w:rPr>
          <w:t>[24] Deribit. Index Prices and Methodology.</w:t>
        </w:r>
      </w:hyperlink>
    </w:p>
    <w:p>
      <w:pPr>
        <w:spacing w:after="80"/>
        <w:ind w:left="115" w:hanging="115"/>
      </w:pPr>
      <w:hyperlink r:id="rId39">
        <w:r>
          <w:rPr>
            <w:rFonts w:ascii="Noto Sans TC" w:hAnsi="Noto Sans TC" w:eastAsia="Noto Sans TC"/>
            <w:color w:val="1F5A7A"/>
            <w:u w:val="single"/>
          </w:rPr>
          <w:t>[25] Deribit. DVOL — Deribit Implied Volatility Index.</w:t>
        </w:r>
      </w:hyperlink>
    </w:p>
    <w:p>
      <w:pPr>
        <w:spacing w:after="80"/>
        <w:ind w:left="115" w:hanging="115"/>
      </w:pPr>
      <w:hyperlink r:id="rId40">
        <w:r>
          <w:rPr>
            <w:rFonts w:ascii="Noto Sans TC" w:hAnsi="Noto Sans TC" w:eastAsia="Noto Sans TC"/>
            <w:color w:val="1F5A7A"/>
            <w:u w:val="single"/>
          </w:rPr>
          <w:t>[26] Tardis.dev. Deribit Historical Data Details.</w:t>
        </w:r>
      </w:hyperlink>
    </w:p>
    <w:p>
      <w:pPr>
        <w:spacing w:after="80"/>
        <w:ind w:left="115" w:hanging="115"/>
      </w:pPr>
      <w:hyperlink r:id="rId41">
        <w:r>
          <w:rPr>
            <w:rFonts w:ascii="Noto Sans TC" w:hAnsi="Noto Sans TC" w:eastAsia="Noto Sans TC"/>
            <w:color w:val="1F5A7A"/>
            <w:u w:val="single"/>
          </w:rPr>
          <w:t>[27] Tardis.dev. HTTP API Reference.</w:t>
        </w:r>
      </w:hyperlink>
    </w:p>
    <w:p>
      <w:pPr>
        <w:spacing w:after="80"/>
        <w:ind w:left="115" w:hanging="115"/>
      </w:pPr>
      <w:hyperlink r:id="rId42">
        <w:r>
          <w:rPr>
            <w:rFonts w:ascii="Noto Sans TC" w:hAnsi="Noto Sans TC" w:eastAsia="Noto Sans TC"/>
            <w:color w:val="1F5A7A"/>
            <w:u w:val="single"/>
          </w:rPr>
          <w:t>[28] CryptoDataDownload. Deribit DVOL Historical Data.</w:t>
        </w:r>
      </w:hyperlink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資料可重現性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隨附 Notebook 內嵌本研究的彙總與逐期策略資料，包含資料品質檢查、基準結果、3 個月區塊 bootstrap 與成本敏感度。它可獨立重跑主要統計，但不內嵌原始 Tardis 市場檔（原始檔體積較大且受資料供應條款約束）。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本文件與 Notebook 的數字若有差異，應以 Notebook 重新執行結果為準；本報告產生時已核對策略表、成本表、樣本週期與 QA 指標。</w:t>
      </w:r>
    </w:p>
    <w:p>
      <w:pPr>
        <w:pStyle w:val="Heading2"/>
        <w:keepNext/>
        <w:ind w:left="0" w:firstLine="0"/>
      </w:pPr>
      <w:r>
        <w:rPr>
          <w:rFonts w:ascii="Noto Sans TC" w:hAnsi="Noto Sans TC" w:eastAsia="Noto Sans TC"/>
        </w:rPr>
        <w:t>免責聲明</w:t>
      </w:r>
    </w:p>
    <w:p>
      <w:pPr>
        <w:spacing w:after="100" w:before="0" w:line="278" w:lineRule="auto"/>
      </w:pPr>
      <w:r>
        <w:rPr>
          <w:rFonts w:ascii="Noto Sans TC" w:hAnsi="Noto Sans TC" w:eastAsia="Noto Sans TC"/>
          <w:b w:val="0"/>
          <w:i w:val="0"/>
        </w:rPr>
        <w:t>本資料僅供研究與教育用途，不構成投資、法律、稅務或會計建議，也不是買賣任何資產或衍生品的要約。歷史回測不代表未來績效；加密資產與選擇權可能產生全部或超過初始投入的損失。使用者應自行確認適格性、法規、交易所規則與風險承受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5B647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oto Sans TC" w:hAnsi="Noto Sans TC" w:eastAsia="Noto Sans TC"/>
        <w:b/>
        <w:i w:val="0"/>
        <w:color w:val="16324F"/>
        <w:sz w:val="16"/>
      </w:rPr>
      <w:t>BTC / ETH 選擇權策略研究</w:t>
    </w:r>
    <w:r>
      <w:rPr>
        <w:rFonts w:ascii="Noto Sans TC" w:hAnsi="Noto Sans TC" w:eastAsia="Noto Sans TC"/>
        <w:b w:val="0"/>
        <w:i w:val="0"/>
        <w:color w:val="5B6470"/>
        <w:sz w:val="16"/>
      </w:rPr>
      <w:t xml:space="preserve">  |  Deribit × 學術文獻 × 月度回測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TC" w:hAnsi="Noto Sans TC" w:eastAsia="Noto Sans T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57A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TC" w:hAnsi="Noto Sans TC" w:eastAsia="Noto Sans TC"/>
      <w:b/>
      <w:i/>
      <w:iCs/>
      <w:color w:val="1F5A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C" w:hAnsi="Noto Sans TC" w:eastAsia="Noto Sans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C" w:hAnsi="Noto Sans TC" w:eastAsia="Noto Sans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C" w:hAnsi="Noto Sans TC" w:eastAsia="Noto Sans T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C" w:hAnsi="Noto Sans TC" w:eastAsia="Noto Sans T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i.org/10.1086/260062" TargetMode="External"/><Relationship Id="rId16" Type="http://schemas.openxmlformats.org/officeDocument/2006/relationships/hyperlink" Target="https://doi.org/10.1016/0304-405X(76)90022-2" TargetMode="External"/><Relationship Id="rId17" Type="http://schemas.openxmlformats.org/officeDocument/2006/relationships/hyperlink" Target="https://doi.org/10.1093/rfs/hhn038" TargetMode="External"/><Relationship Id="rId18" Type="http://schemas.openxmlformats.org/officeDocument/2006/relationships/hyperlink" Target="https://doi.org/10.1093/rfs/hhp008" TargetMode="External"/><Relationship Id="rId19" Type="http://schemas.openxmlformats.org/officeDocument/2006/relationships/hyperlink" Target="https://doi.org/10.1093/rfs/16.2.527" TargetMode="External"/><Relationship Id="rId20" Type="http://schemas.openxmlformats.org/officeDocument/2006/relationships/hyperlink" Target="https://papers.ssrn.com/sol3/papers.cfm?abstract_id=2444999" TargetMode="External"/><Relationship Id="rId21" Type="http://schemas.openxmlformats.org/officeDocument/2006/relationships/hyperlink" Target="https://doi.org/10.1093/rfs/hhaa113" TargetMode="External"/><Relationship Id="rId22" Type="http://schemas.openxmlformats.org/officeDocument/2006/relationships/hyperlink" Target="https://doi.org/10.1093/jjfinec/nbaa006" TargetMode="External"/><Relationship Id="rId23" Type="http://schemas.openxmlformats.org/officeDocument/2006/relationships/hyperlink" Target="https://doi.org/10.3905/jai.2020.1.112" TargetMode="External"/><Relationship Id="rId24" Type="http://schemas.openxmlformats.org/officeDocument/2006/relationships/hyperlink" Target="https://doi.org/10.1016/j.intfin.2021.101421" TargetMode="External"/><Relationship Id="rId25" Type="http://schemas.openxmlformats.org/officeDocument/2006/relationships/hyperlink" Target="https://doi.org/10.1007/s11147-023-09194-6" TargetMode="External"/><Relationship Id="rId26" Type="http://schemas.openxmlformats.org/officeDocument/2006/relationships/hyperlink" Target="https://doi.org/10.1080/14697688.2024.2364804" TargetMode="External"/><Relationship Id="rId27" Type="http://schemas.openxmlformats.org/officeDocument/2006/relationships/hyperlink" Target="https://doi.org/10.1016/j.finmar.2022.100764" TargetMode="External"/><Relationship Id="rId28" Type="http://schemas.openxmlformats.org/officeDocument/2006/relationships/hyperlink" Target="https://doi.org/10.1016/j.orl.2024.107135" TargetMode="External"/><Relationship Id="rId29" Type="http://schemas.openxmlformats.org/officeDocument/2006/relationships/hyperlink" Target="https://arxiv.org/abs/2410.15195" TargetMode="External"/><Relationship Id="rId30" Type="http://schemas.openxmlformats.org/officeDocument/2006/relationships/hyperlink" Target="https://arxiv.org/abs/2510.21297" TargetMode="External"/><Relationship Id="rId31" Type="http://schemas.openxmlformats.org/officeDocument/2006/relationships/hyperlink" Target="https://doi.org/10.1111/mafi.12410" TargetMode="External"/><Relationship Id="rId32" Type="http://schemas.openxmlformats.org/officeDocument/2006/relationships/hyperlink" Target="https://www.sciencedirect.com/science/article/pii/S138641812400048X" TargetMode="External"/><Relationship Id="rId33" Type="http://schemas.openxmlformats.org/officeDocument/2006/relationships/hyperlink" Target="https://pmc.ncbi.nlm.nih.gov/articles/PMC8418903/" TargetMode="External"/><Relationship Id="rId34" Type="http://schemas.openxmlformats.org/officeDocument/2006/relationships/hyperlink" Target="https://pmc.ncbi.nlm.nih.gov/articles/PMC8326316/" TargetMode="External"/><Relationship Id="rId35" Type="http://schemas.openxmlformats.org/officeDocument/2006/relationships/hyperlink" Target="https://support.deribit.com/hc/en-us/articles/31424939096093-Inverse-Options" TargetMode="External"/><Relationship Id="rId36" Type="http://schemas.openxmlformats.org/officeDocument/2006/relationships/hyperlink" Target="https://support.deribit.com/hc/en-us/articles/25944746248989-Fees" TargetMode="External"/><Relationship Id="rId37" Type="http://schemas.openxmlformats.org/officeDocument/2006/relationships/hyperlink" Target="https://support.deribit.com/hc/en-us/articles/29734325712413-Settlement" TargetMode="External"/><Relationship Id="rId38" Type="http://schemas.openxmlformats.org/officeDocument/2006/relationships/hyperlink" Target="https://support.deribit.com/hc/en-us/articles/25944739377309-Index-Prices" TargetMode="External"/><Relationship Id="rId39" Type="http://schemas.openxmlformats.org/officeDocument/2006/relationships/hyperlink" Target="https://insights.deribit.com/exchange-updates/dvol-deribit-implied-volatility-index/" TargetMode="External"/><Relationship Id="rId40" Type="http://schemas.openxmlformats.org/officeDocument/2006/relationships/hyperlink" Target="https://docs.tardis.dev/historical-data-details/deribit" TargetMode="External"/><Relationship Id="rId41" Type="http://schemas.openxmlformats.org/officeDocument/2006/relationships/hyperlink" Target="https://docs.tardis.dev/api/http-api-reference" TargetMode="External"/><Relationship Id="rId42" Type="http://schemas.openxmlformats.org/officeDocument/2006/relationships/hyperlink" Target="https://www.cryptodatadownload.com/data/derib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比特幣與以太幣選擇權策略研究</dc:title>
  <dc:subject>Deribit 市場資料、學術文獻與 2021–2026 月度回測</dc:subject>
  <dc:creator>OpenAI</dc:creator>
  <cp:keywords>BTC, ETH, Deribit, options, volatility, backtest, 選擇權</cp:keywords>
  <dc:description>Research and educational use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