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3600"/>
            <w:shd w:fill="2E74B5"/>
            <w:tcMar>
              <w:top w:w="100" w:type="dxa"/>
              <w:start w:w="180" w:type="dxa"/>
              <w:bottom w:w="100" w:type="dxa"/>
              <w:end w:w="180" w:type="dxa"/>
            </w:tcMar>
            <w:vAlign w:val="top"/>
          </w:tcPr>
          <w:p>
            <w:pPr>
              <w:widowControl/>
            </w:pPr>
          </w:p>
        </w:tc>
        <w:tc>
          <w:tcPr>
            <w:tcW w:type="dxa" w:w="5760"/>
            <w:shd w:fill="FFFFFF"/>
            <w:tcMar>
              <w:top w:w="100" w:type="dxa"/>
              <w:start w:w="180" w:type="dxa"/>
              <w:bottom w:w="100" w:type="dxa"/>
              <w:end w:w="18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F7A8C"/>
                <w:sz w:val="19"/>
              </w:rPr>
              <w:t>PUBLIC MARKET-CONTENT BENCHMARK</w:t>
            </w:r>
          </w:p>
        </w:tc>
      </w:tr>
    </w:tbl>
    <w:p>
      <w:pPr>
        <w:widowControl/>
        <w:spacing w:after="160"/>
      </w:pPr>
    </w:p>
    <w:p>
      <w:pPr>
        <w:pStyle w:val="Title"/>
        <w:widowControl/>
        <w:spacing w:after="160"/>
      </w:pPr>
      <w:r>
        <w:rPr>
          <w:rFonts w:ascii="Noto Sans T Chinese" w:hAnsi="Noto Sans T Chinese" w:eastAsia="Noto Sans T Chinese"/>
          <w:b/>
          <w:color w:val="123A5A"/>
          <w:sz w:val="50"/>
        </w:rPr>
        <w:t>券商股市日報、電子報與 EDM</w:t>
        <w:br/>
        <w:t>競品比較統整</w:t>
      </w:r>
    </w:p>
    <w:p>
      <w:pPr>
        <w:pStyle w:val="Subtitle"/>
        <w:widowControl/>
      </w:pPr>
      <w:r>
        <w:rPr>
          <w:rFonts w:ascii="Noto Sans T Chinese" w:hAnsi="Noto Sans T Chinese" w:eastAsia="Noto Sans T Chinese"/>
          <w:color w:val="1F7A8C"/>
          <w:sz w:val="25"/>
        </w:rPr>
        <w:t>台灣與海外公開內容盤點｜凱基隨身 e 策略深度拆解｜台灣投資人需求與產品藍圖</w:t>
      </w:r>
    </w:p>
    <w:p>
      <w:pPr>
        <w:widowControl/>
        <w:spacing w:after="20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c>
          <w:tcPr>
            <w:tcW w:type="dxa" w:w="180"/>
            <w:shd w:fill="2E74B5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</w:pPr>
          </w:p>
        </w:tc>
        <w:tc>
          <w:tcPr>
            <w:tcW w:type="dxa" w:w="9180"/>
            <w:shd w:fill="F4F8FB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40"/>
            </w:pPr>
            <w:r>
              <w:rPr>
                <w:rFonts w:ascii="Noto Sans T Chinese" w:hAnsi="Noto Sans T Chinese" w:eastAsia="Noto Sans T Chinese"/>
                <w:b/>
                <w:color w:val="2E74B5"/>
                <w:sz w:val="21"/>
              </w:rPr>
              <w:t>研究範圍</w:t>
              <w:br/>
            </w:r>
            <w:r>
              <w:rPr>
                <w:rFonts w:ascii="Noto Sans T Chinese" w:hAnsi="Noto Sans T Chinese" w:eastAsia="Noto Sans T Chinese"/>
                <w:color w:val="263238"/>
                <w:sz w:val="19"/>
              </w:rPr>
              <w:t>公開網頁、PDF、官方 App／LINE／推播說明、電子報訂閱頁，以及固定晨報、盤前、盤後、Podcast 與每日文章。登入後內容僅依官方入口與產品說明判讀，不繞過權限。</w:t>
            </w:r>
          </w:p>
        </w:tc>
      </w:tr>
    </w:tbl>
    <w:p>
      <w:pPr>
        <w:widowControl/>
        <w:spacing w:after="40"/>
      </w:pPr>
    </w:p>
    <w:p>
      <w:pPr>
        <w:widowControl/>
        <w:spacing w:after="80"/>
      </w:pPr>
    </w:p>
    <w:tbl>
      <w:tblPr>
        <w:tblW w:type="dxa" w:w="700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5500"/>
      </w:tblGrid>
      <w:tr>
        <w:tc>
          <w:tcPr>
            <w:tcW w:type="dxa" w:w="15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8"/>
              </w:rPr>
              <w:t>資料截止</w:t>
            </w:r>
          </w:p>
        </w:tc>
        <w:tc>
          <w:tcPr>
            <w:tcW w:type="dxa" w:w="55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8"/>
              </w:rPr>
              <w:t>2026 年 7 月 22 日（Asia/Taipei）</w:t>
            </w:r>
          </w:p>
        </w:tc>
      </w:tr>
      <w:tr>
        <w:tc>
          <w:tcPr>
            <w:tcW w:type="dxa" w:w="15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8"/>
              </w:rPr>
              <w:t>涵蓋範圍</w:t>
            </w:r>
          </w:p>
        </w:tc>
        <w:tc>
          <w:tcPr>
            <w:tcW w:type="dxa" w:w="55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8"/>
              </w:rPr>
              <w:t>18 個台灣券商／投顧品牌與 16 個海外券商／平台案例</w:t>
            </w:r>
          </w:p>
        </w:tc>
      </w:tr>
      <w:tr>
        <w:tc>
          <w:tcPr>
            <w:tcW w:type="dxa" w:w="15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8"/>
              </w:rPr>
              <w:t>用途／聲明</w:t>
            </w:r>
          </w:p>
        </w:tc>
        <w:tc>
          <w:tcPr>
            <w:tcW w:type="dxa" w:w="550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8"/>
              </w:rPr>
              <w:t>內容策略、產品規劃、EDM／日報改版與競品定位；不構成投資建議。</w:t>
            </w:r>
          </w:p>
        </w:tc>
      </w:tr>
    </w:tbl>
    <w:p>
      <w:pPr>
        <w:widowControl/>
        <w:spacing w:after="80"/>
      </w:pPr>
    </w:p>
    <w:p>
      <w:pPr>
        <w:widowControl/>
        <w:jc w:val="right"/>
      </w:pPr>
      <w:r>
        <w:rPr>
          <w:rFonts w:ascii="Noto Sans T Chinese" w:hAnsi="Noto Sans T Chinese" w:eastAsia="Noto Sans T Chinese"/>
          <w:b/>
          <w:color w:val="5F6B73"/>
          <w:sz w:val="18"/>
        </w:rPr>
        <w:t>版本 1.0　｜　2026.07.22</w:t>
      </w:r>
    </w:p>
    <w:p>
      <w:pPr>
        <w:widowControl/>
      </w:pPr>
      <w:r>
        <w:br w:type="page"/>
      </w:r>
    </w:p>
    <w:p>
      <w:pPr>
        <w:pStyle w:val="Heading1"/>
        <w:keepNext/>
        <w:pageBreakBefore/>
        <w:widowControl/>
      </w:pPr>
      <w:r>
        <w:rPr>
          <w:rFonts w:ascii="Noto Sans T Chinese" w:hAnsi="Noto Sans T Chinese" w:eastAsia="Noto Sans T Chinese"/>
          <w:b/>
          <w:color w:val="2E74B5"/>
          <w:sz w:val="32"/>
        </w:rPr>
        <w:t>執行摘要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c>
          <w:tcPr>
            <w:tcW w:type="dxa" w:w="180"/>
            <w:shd w:fill="1F7A8C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</w:pPr>
          </w:p>
        </w:tc>
        <w:tc>
          <w:tcPr>
            <w:tcW w:type="dxa" w:w="9180"/>
            <w:shd w:fill="EDF5FA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40"/>
            </w:pPr>
            <w:r>
              <w:rPr>
                <w:rFonts w:ascii="Noto Sans T Chinese" w:hAnsi="Noto Sans T Chinese" w:eastAsia="Noto Sans T Chinese"/>
                <w:b/>
                <w:color w:val="1F7A8C"/>
                <w:sz w:val="21"/>
              </w:rPr>
              <w:t>一句話結論</w:t>
              <w:br/>
            </w:r>
            <w:r>
              <w:rPr>
                <w:rFonts w:ascii="Noto Sans T Chinese" w:hAnsi="Noto Sans T Chinese" w:eastAsia="Noto Sans T Chinese"/>
                <w:color w:val="263238"/>
                <w:sz w:val="19"/>
              </w:rPr>
              <w:t>台灣券商擁有扎實研究內容，但資訊多散落於 PDF、投顧會員區、App 與 LINE；海外領先案例則更強調「讀完所需時間、今日催化劑、可採取行動與風險」。最佳產品不是再做一份更長的日報，而是把同一份研究拆成 30 秒、3 分鐘與完整報告三層。</w:t>
            </w:r>
          </w:p>
        </w:tc>
      </w:tr>
    </w:tbl>
    <w:p>
      <w:pPr>
        <w:widowControl/>
        <w:spacing w:after="40"/>
      </w:pP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市場主流可分成四型：研究 PDF、快訊／音訊、公開文章流、依持股或自選股個人化日報。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凱基的優勢是研究廣度與 App／LINE／推播／選股回測整合；主要體驗風險是入口與命名較多、會員簽署門檻及摘要層級仍可更清楚。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國泰 2026 年 AI 台股投資日報已把『大盤 → 產業 → 個人持股 → 市場情緒』串成盤後電子郵件，是台灣個人化方向的重要標竿。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〔T06–T07〕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台灣投資人最需要的不是更多新聞，而是：事件如何影響台股產業與我的持股、今天要留意什麼、若判斷錯誤何時停手。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建議日報採三段節奏：07:30–08:00 盤前主報、12:00 可選午間異動、14:15–15:00 盤後個人化總結；美股曝險另設晚間模組。</w:t>
      </w: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核心比較：台灣 vs. 海外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2700"/>
        <w:gridCol w:w="2500"/>
        <w:gridCol w:w="26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比較面向</w:t>
            </w:r>
          </w:p>
        </w:tc>
        <w:tc>
          <w:tcPr>
            <w:tcW w:type="dxa" w:w="27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台灣券商常見做法</w:t>
            </w:r>
          </w:p>
        </w:tc>
        <w:tc>
          <w:tcPr>
            <w:tcW w:type="dxa" w:w="25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海外領先案例</w:t>
            </w:r>
          </w:p>
        </w:tc>
        <w:tc>
          <w:tcPr>
            <w:tcW w:type="dxa" w:w="266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產品機會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內容深度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投顧 PDF、產業／個股報告完整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短摘要與長文並存</w:t>
            </w:r>
          </w:p>
        </w:tc>
        <w:tc>
          <w:tcPr>
            <w:tcW w:type="dxa" w:w="26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保留完整研究，新增一頁式總覽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時間感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晨訊、盤前、盤後分散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明確標示 morning／midday／close</w:t>
            </w:r>
          </w:p>
        </w:tc>
        <w:tc>
          <w:tcPr>
            <w:tcW w:type="dxa" w:w="26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依交易時點設固定版位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個人化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自選、推播與持股內容逐步增加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依帳戶、關注主題與市場訂閱</w:t>
            </w:r>
          </w:p>
        </w:tc>
        <w:tc>
          <w:tcPr>
            <w:tcW w:type="dxa" w:w="26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持股曝險＋自選股＋閱讀偏好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可行動性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常見盤勢觀點與選股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催化劑、關鍵價、停損／失效條件更清楚</w:t>
            </w:r>
          </w:p>
        </w:tc>
        <w:tc>
          <w:tcPr>
            <w:tcW w:type="dxa" w:w="26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加入情境、風險與下一步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載體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PDF、App、LINE、電子郵件、Podcast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Email、web、直播、音訊、RSS</w:t>
            </w:r>
          </w:p>
        </w:tc>
        <w:tc>
          <w:tcPr>
            <w:tcW w:type="dxa" w:w="26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一份內容多載體重組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章節導覽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1　研究口徑與文宣內容構成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2　台灣券商公開文宣總覽與逐家比較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3　凱基隨身 e 策略／台股日報深度拆解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4　海外券商與平台案例比較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5　台灣投資人想看的股市日報內容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6　建議產品藍圖、版型與 KPI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7　研究限制與完整參考網址</w:t>
      </w:r>
    </w:p>
    <w:p>
      <w:pPr>
        <w:pStyle w:val="Heading1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32"/>
        </w:rPr>
        <w:t>1　研究口徑與文宣內容構成</w:t>
      </w: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1.1 何謂本報告的「券商日報／文宣」</w:t>
      </w:r>
    </w:p>
    <w:p>
      <w:pPr>
        <w:widowControl/>
        <w:spacing w:after="100"/>
      </w:pPr>
      <w:r>
        <w:rPr>
          <w:rFonts w:ascii="Noto Sans T Chinese" w:hAnsi="Noto Sans T Chinese" w:eastAsia="Noto Sans T Chinese"/>
          <w:color w:val="263238"/>
          <w:sz w:val="21"/>
        </w:rPr>
        <w:t>本研究不把所有券商官網新聞都視為日報。納入條件至少符合其一：固定頻率、固定欄位、固定訂閱／推播入口，或官方明確稱為晨訊、早報、日報、Market Update、Morning Call、Daily Insights。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公開型：不需登入即可閱讀的網頁、PDF、Podcast、YouTube 或 RSS。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訂閱型：以 Email、App、LINE 或推播固定寄送，可免費但需註冊／開戶。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會員／簽署型：需登入、開戶或簽投顧契約；僅依公開的產品說明與目錄整理。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文章流：若沒有固定頻率，列為『每日文章／市場內容流』，不冒稱固定日報。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已停止或品牌合併：另標示歷史狀態，避免把舊品牌當成 2026 年現行服務。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c>
          <w:tcPr>
            <w:tcW w:type="dxa" w:w="180"/>
            <w:shd w:fill="C57A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</w:pPr>
          </w:p>
        </w:tc>
        <w:tc>
          <w:tcPr>
            <w:tcW w:type="dxa" w:w="9180"/>
            <w:shd w:fill="FFF8EA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40"/>
            </w:pPr>
            <w:r>
              <w:rPr>
                <w:rFonts w:ascii="Noto Sans T Chinese" w:hAnsi="Noto Sans T Chinese" w:eastAsia="Noto Sans T Chinese"/>
                <w:b/>
                <w:color w:val="C57A12"/>
                <w:sz w:val="21"/>
              </w:rPr>
              <w:t>「所有」的實務定義</w:t>
              <w:br/>
            </w:r>
            <w:r>
              <w:rPr>
                <w:rFonts w:ascii="Noto Sans T Chinese" w:hAnsi="Noto Sans T Chinese" w:eastAsia="Noto Sans T Chinese"/>
                <w:color w:val="263238"/>
                <w:sz w:val="19"/>
              </w:rPr>
              <w:t>台灣證交所與券商公會名錄包含綜合券商、專業券商、外國券商在台分支與銀行兼營證券部門，並非每家都服務一般散戶或公開研究。因此，本報告涵蓋『可被公開驗證、面向投資人、具日常節奏的內容產品』；未發現固定公開日報者，不以推測補齊。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1.2 一份股市日報通常包含什麼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市場快照：台股加權／櫃買、成交值、漲跌家數、主要類股、台指期；海外指數、債券殖利率、美元、台幣、油金與波動率。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前一交易日回顧：收盤變化、量價結構、領漲／領跌、籌碼與重要事件。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今日展望：盤前情境、支撐壓力、預估區間、風險事件與觀察順序。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國際傳導：美股／亞股／商品／匯率變化如何影響台灣產業鏈與權值股。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總經與行事曆：央行、通膨、就業、PMI、GDP、法說、財報、除權息、申購與政策日期。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籌碼與資金：外資／投信／自營商、融資融券、借券、期貨未平倉、ETF 申贖與資金流。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產業與題材：輪動排序、供應鏈消息、報價、政策、庫存、旺淡季與關聯個股。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個股研究：營收／獲利、評等、目標價、預估修正、催化劑與風險。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選股與交易框架：清單、篩選理由、進出場、停損／失效條件；應清楚區分研究與招攬。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個人化：持股與自選股摘要、曝險、異常波動、新聞、公司行動與待辦。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法遵與資料品質：資料時間戳、來源、延遲、利益衝突、免責聲明與內容適用範圍。</w:t>
      </w: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1.3 判讀維度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3400"/>
        <w:gridCol w:w="4560"/>
      </w:tblGrid>
      <w:tr>
        <w:trPr>
          <w:tblHeader w:val="true"/>
        </w:trPr>
        <w:tc>
          <w:tcPr>
            <w:tcW w:type="dxa" w:w="14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7"/>
              </w:rPr>
              <w:t>維度</w:t>
            </w:r>
          </w:p>
        </w:tc>
        <w:tc>
          <w:tcPr>
            <w:tcW w:type="dxa" w:w="34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7"/>
              </w:rPr>
              <w:t>判讀問題</w:t>
            </w:r>
          </w:p>
        </w:tc>
        <w:tc>
          <w:tcPr>
            <w:tcW w:type="dxa" w:w="456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7"/>
              </w:rPr>
              <w:t>高品質訊號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即時性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何時發、資料截止到何時？</w:t>
            </w:r>
          </w:p>
        </w:tc>
        <w:tc>
          <w:tcPr>
            <w:tcW w:type="dxa" w:w="4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清楚標時區、時間戳與下一次更新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相關性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是否能連到台股／我的持股？</w:t>
            </w:r>
          </w:p>
        </w:tc>
        <w:tc>
          <w:tcPr>
            <w:tcW w:type="dxa" w:w="4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事件→產業→公司→持股曝險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可讀性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30 秒能否理解重點？</w:t>
            </w:r>
          </w:p>
        </w:tc>
        <w:tc>
          <w:tcPr>
            <w:tcW w:type="dxa" w:w="4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先結論、再證據、最後完整研究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可行動性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讀完知道要看什麼嗎？</w:t>
            </w:r>
          </w:p>
        </w:tc>
        <w:tc>
          <w:tcPr>
            <w:tcW w:type="dxa" w:w="4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催化劑、關鍵價、情境與風險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可信度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資料與觀點可否追溯？</w:t>
            </w:r>
          </w:p>
        </w:tc>
        <w:tc>
          <w:tcPr>
            <w:tcW w:type="dxa" w:w="4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來源、方法、分析師／模型揭露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可控性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使用者能否調整頻率？</w:t>
            </w:r>
          </w:p>
        </w:tc>
        <w:tc>
          <w:tcPr>
            <w:tcW w:type="dxa" w:w="4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市場、產業、時段與載體偏好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pageBreakBefore/>
        <w:widowControl/>
      </w:pPr>
      <w:r>
        <w:rPr>
          <w:rFonts w:ascii="Noto Sans T Chinese" w:hAnsi="Noto Sans T Chinese" w:eastAsia="Noto Sans T Chinese"/>
          <w:b/>
          <w:color w:val="2E74B5"/>
          <w:sz w:val="32"/>
        </w:rPr>
        <w:t>2　台灣券商公開文宣總覽</w:t>
      </w:r>
    </w:p>
    <w:p>
      <w:pPr>
        <w:widowControl/>
        <w:spacing w:after="100"/>
      </w:pPr>
      <w:r>
        <w:rPr>
          <w:rFonts w:ascii="Noto Sans T Chinese" w:hAnsi="Noto Sans T Chinese" w:eastAsia="Noto Sans T Chinese"/>
          <w:color w:val="263238"/>
          <w:sz w:val="21"/>
        </w:rPr>
        <w:t>以下依 2026 年仍可公開驗證的品牌與內容入口整理。『頻率』以官方頁面可觀察到的固定節奏為主；若僅為文章流或需登入，已明確標示。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50"/>
        <w:gridCol w:w="2650"/>
        <w:gridCol w:w="1150"/>
        <w:gridCol w:w="1950"/>
        <w:gridCol w:w="2560"/>
      </w:tblGrid>
      <w:tr>
        <w:trPr>
          <w:tblHeader w:val="true"/>
        </w:trPr>
        <w:tc>
          <w:tcPr>
            <w:tcW w:type="dxa" w:w="10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5"/>
              </w:rPr>
              <w:t>品牌</w:t>
            </w:r>
          </w:p>
        </w:tc>
        <w:tc>
          <w:tcPr>
            <w:tcW w:type="dxa" w:w="26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5"/>
              </w:rPr>
              <w:t>主要日常文宣</w:t>
            </w:r>
          </w:p>
        </w:tc>
        <w:tc>
          <w:tcPr>
            <w:tcW w:type="dxa" w:w="11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5"/>
              </w:rPr>
              <w:t>頻率</w:t>
            </w:r>
          </w:p>
        </w:tc>
        <w:tc>
          <w:tcPr>
            <w:tcW w:type="dxa" w:w="19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5"/>
              </w:rPr>
              <w:t>載體／權限</w:t>
            </w:r>
          </w:p>
        </w:tc>
        <w:tc>
          <w:tcPr>
            <w:tcW w:type="dxa" w:w="256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5"/>
              </w:rPr>
              <w:t>定位與備註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凱基</w:t>
            </w:r>
          </w:p>
        </w:tc>
        <w:tc>
          <w:tcPr>
            <w:tcW w:type="dxa" w:w="26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台灣投資領航日報、投資早報、語音盤前、台股分析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交易日／多時段</w:t>
            </w:r>
          </w:p>
        </w:tc>
        <w:tc>
          <w:tcPr>
            <w:tcW w:type="dxa" w:w="19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會員研究、App、LINE、推播</w:t>
            </w:r>
          </w:p>
        </w:tc>
        <w:tc>
          <w:tcPr>
            <w:tcW w:type="dxa" w:w="2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研究全、選股與交易整合〔T01–T05〕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元大</w:t>
            </w:r>
          </w:p>
        </w:tc>
        <w:tc>
          <w:tcPr>
            <w:tcW w:type="dxa" w:w="26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投資早報、午報、ETF 動態、美股盤後、計量清單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日／週</w:t>
            </w:r>
          </w:p>
        </w:tc>
        <w:tc>
          <w:tcPr>
            <w:tcW w:type="dxa" w:w="19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公開列表＋PDF／會員</w:t>
            </w:r>
          </w:p>
        </w:tc>
        <w:tc>
          <w:tcPr>
            <w:tcW w:type="dxa" w:w="2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報告品類最完整之一〔T08–T09〕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富邦</w:t>
            </w:r>
          </w:p>
        </w:tc>
        <w:tc>
          <w:tcPr>
            <w:tcW w:type="dxa" w:w="26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3 分鐘台股 Podcast、研究報告文章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交易日／文章流</w:t>
            </w:r>
          </w:p>
        </w:tc>
        <w:tc>
          <w:tcPr>
            <w:tcW w:type="dxa" w:w="19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Podcast、Web、研究站</w:t>
            </w:r>
          </w:p>
        </w:tc>
        <w:tc>
          <w:tcPr>
            <w:tcW w:type="dxa" w:w="2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低時間成本、口語化〔T10–T12〕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國泰</w:t>
            </w:r>
          </w:p>
        </w:tc>
        <w:tc>
          <w:tcPr>
            <w:tcW w:type="dxa" w:w="26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AI 台股投資日報、AI 庫存管家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每日盤後＋盤中</w:t>
            </w:r>
          </w:p>
        </w:tc>
        <w:tc>
          <w:tcPr>
            <w:tcW w:type="dxa" w:w="19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Email、個人化推播</w:t>
            </w:r>
          </w:p>
        </w:tc>
        <w:tc>
          <w:tcPr>
            <w:tcW w:type="dxa" w:w="2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依持股生成摘要與情緒指標〔T06–T07〕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永豐金</w:t>
            </w:r>
          </w:p>
        </w:tc>
        <w:tc>
          <w:tcPr>
            <w:tcW w:type="dxa" w:w="26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豐雲學堂台股盤前、每日精選文章、策略選股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交易日／文章流</w:t>
            </w:r>
          </w:p>
        </w:tc>
        <w:tc>
          <w:tcPr>
            <w:tcW w:type="dxa" w:w="19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公開 Web、App、社群</w:t>
            </w:r>
          </w:p>
        </w:tc>
        <w:tc>
          <w:tcPr>
            <w:tcW w:type="dxa" w:w="2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內容行銷與量化工具結合〔T13–T14〕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統一</w:t>
            </w:r>
          </w:p>
        </w:tc>
        <w:tc>
          <w:tcPr>
            <w:tcW w:type="dxa" w:w="26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投資早報、盤勢／研究內容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交易日</w:t>
            </w:r>
          </w:p>
        </w:tc>
        <w:tc>
          <w:tcPr>
            <w:tcW w:type="dxa" w:w="19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公開列表／PDF</w:t>
            </w:r>
          </w:p>
        </w:tc>
        <w:tc>
          <w:tcPr>
            <w:tcW w:type="dxa" w:w="2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傳統研究晨報架構〔T15〕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第一金</w:t>
            </w:r>
          </w:p>
        </w:tc>
        <w:tc>
          <w:tcPr>
            <w:tcW w:type="dxa" w:w="26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晨訊、日刊、港股日報、美股日報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交易日</w:t>
            </w:r>
          </w:p>
        </w:tc>
        <w:tc>
          <w:tcPr>
            <w:tcW w:type="dxa" w:w="19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公開報告列表／PDF</w:t>
            </w:r>
          </w:p>
        </w:tc>
        <w:tc>
          <w:tcPr>
            <w:tcW w:type="dxa" w:w="2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跨市場分類清楚〔T16〕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兆豐</w:t>
            </w:r>
          </w:p>
        </w:tc>
        <w:tc>
          <w:tcPr>
            <w:tcW w:type="dxa" w:w="26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投資早報、盤前分析音訊、新聞評論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交易日</w:t>
            </w:r>
          </w:p>
        </w:tc>
        <w:tc>
          <w:tcPr>
            <w:tcW w:type="dxa" w:w="19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投顧 Web／音訊</w:t>
            </w:r>
          </w:p>
        </w:tc>
        <w:tc>
          <w:tcPr>
            <w:tcW w:type="dxa" w:w="2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早報＋音訊雙載體〔T17〕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華南永昌</w:t>
            </w:r>
          </w:p>
        </w:tc>
        <w:tc>
          <w:tcPr>
            <w:tcW w:type="dxa" w:w="26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投顧晨訊、籌碼日報、AI 盤後選股、盤後解析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交易日／週</w:t>
            </w:r>
          </w:p>
        </w:tc>
        <w:tc>
          <w:tcPr>
            <w:tcW w:type="dxa" w:w="19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LINE、App、投顧站</w:t>
            </w:r>
          </w:p>
        </w:tc>
        <w:tc>
          <w:tcPr>
            <w:tcW w:type="dxa" w:w="2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LINE 選單與交易服務整合〔T18–T20〕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中信</w:t>
            </w:r>
          </w:p>
        </w:tc>
        <w:tc>
          <w:tcPr>
            <w:tcW w:type="dxa" w:w="26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每日盤勢分析、市場觀點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交易日／文章流</w:t>
            </w:r>
          </w:p>
        </w:tc>
        <w:tc>
          <w:tcPr>
            <w:tcW w:type="dxa" w:w="19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投顧 Web</w:t>
            </w:r>
          </w:p>
        </w:tc>
        <w:tc>
          <w:tcPr>
            <w:tcW w:type="dxa" w:w="2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盤勢與總經觀點〔T21〕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群益</w:t>
            </w:r>
          </w:p>
        </w:tc>
        <w:tc>
          <w:tcPr>
            <w:tcW w:type="dxa" w:w="26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每日盤勢、重大新聞、產業與個股資訊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交易日／即時</w:t>
            </w:r>
          </w:p>
        </w:tc>
        <w:tc>
          <w:tcPr>
            <w:tcW w:type="dxa" w:w="19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Web、數位服務</w:t>
            </w:r>
          </w:p>
        </w:tc>
        <w:tc>
          <w:tcPr>
            <w:tcW w:type="dxa" w:w="2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研究與即時內容並重〔T22〕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合庫</w:t>
            </w:r>
          </w:p>
        </w:tc>
        <w:tc>
          <w:tcPr>
            <w:tcW w:type="dxa" w:w="26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每日晨訊、盤勢分析、個股、產業、週報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交易日／週</w:t>
            </w:r>
          </w:p>
        </w:tc>
        <w:tc>
          <w:tcPr>
            <w:tcW w:type="dxa" w:w="19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公開研究列表</w:t>
            </w:r>
          </w:p>
        </w:tc>
        <w:tc>
          <w:tcPr>
            <w:tcW w:type="dxa" w:w="2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分類齊全、公共可查〔T23〕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康和</w:t>
            </w:r>
          </w:p>
        </w:tc>
        <w:tc>
          <w:tcPr>
            <w:tcW w:type="dxa" w:w="26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每日晨報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交易日</w:t>
            </w:r>
          </w:p>
        </w:tc>
        <w:tc>
          <w:tcPr>
            <w:tcW w:type="dxa" w:w="19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公開網頁／PDF</w:t>
            </w:r>
          </w:p>
        </w:tc>
        <w:tc>
          <w:tcPr>
            <w:tcW w:type="dxa" w:w="2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入口單純〔T24〕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國票</w:t>
            </w:r>
          </w:p>
        </w:tc>
        <w:tc>
          <w:tcPr>
            <w:tcW w:type="dxa" w:w="26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早／晚報、海外市場重點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交易日</w:t>
            </w:r>
          </w:p>
        </w:tc>
        <w:tc>
          <w:tcPr>
            <w:tcW w:type="dxa" w:w="19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公開列表／PDF</w:t>
            </w:r>
          </w:p>
        </w:tc>
        <w:tc>
          <w:tcPr>
            <w:tcW w:type="dxa" w:w="2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多時段與海外市場〔T25〕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宏遠</w:t>
            </w:r>
          </w:p>
        </w:tc>
        <w:tc>
          <w:tcPr>
            <w:tcW w:type="dxa" w:w="26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國際投資晨報、總經／產業／法人動向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交易日／文章流</w:t>
            </w:r>
          </w:p>
        </w:tc>
        <w:tc>
          <w:tcPr>
            <w:tcW w:type="dxa" w:w="19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公開 Web</w:t>
            </w:r>
          </w:p>
        </w:tc>
        <w:tc>
          <w:tcPr>
            <w:tcW w:type="dxa" w:w="2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國際與法人資訊並列〔T26〕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台新</w:t>
            </w:r>
          </w:p>
        </w:tc>
        <w:tc>
          <w:tcPr>
            <w:tcW w:type="dxa" w:w="26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合併後公開官網以交易與系統公告為主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不固定</w:t>
            </w:r>
          </w:p>
        </w:tc>
        <w:tc>
          <w:tcPr>
            <w:tcW w:type="dxa" w:w="19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Web／App</w:t>
            </w:r>
          </w:p>
        </w:tc>
        <w:tc>
          <w:tcPr>
            <w:tcW w:type="dxa" w:w="2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元富已於 2026/4/6 併入；固定公開日報待確認〔T27–T28〕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福邦／福勝等中小型</w:t>
            </w:r>
          </w:p>
        </w:tc>
        <w:tc>
          <w:tcPr>
            <w:tcW w:type="dxa" w:w="26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公開市場資訊與活動訊息為主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不固定</w:t>
            </w:r>
          </w:p>
        </w:tc>
        <w:tc>
          <w:tcPr>
            <w:tcW w:type="dxa" w:w="19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Web</w:t>
            </w:r>
          </w:p>
        </w:tc>
        <w:tc>
          <w:tcPr>
            <w:tcW w:type="dxa" w:w="2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未發現可穩定驗證的固定公開日報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外商在台分支／銀行兼營</w:t>
            </w:r>
          </w:p>
        </w:tc>
        <w:tc>
          <w:tcPr>
            <w:tcW w:type="dxa" w:w="26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多面向法人客戶或內部研究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不公開／不定</w:t>
            </w:r>
          </w:p>
        </w:tc>
        <w:tc>
          <w:tcPr>
            <w:tcW w:type="dxa" w:w="19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客戶平台或業務提供</w:t>
            </w:r>
          </w:p>
        </w:tc>
        <w:tc>
          <w:tcPr>
            <w:tcW w:type="dxa" w:w="25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不等同一般散戶公開日報〔T29–T30〕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2.1 台灣券商逐家重點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凱基證券／凱基投顧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主要文宣／產品：KGI 凱基台灣投資領航日報、凱基投資早報、語音盤勢播報、台股分析、產業與個股報告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〔T01–T05〕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格式與入口：投顧研究站需會員；隨身 e 策略與 LINE 可導入研究、選股與每日推播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內容結構：大盤、國際金融、台股新聞、評等與更新報告、融資波段標的；另有海外日報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可借鏡之處：研究層次完整，能從內容直接串到選股、回測、追蹤與交易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判讀／限制：不同日報名稱與入口需加強分層；報告檔案實際內容受會員權限限制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元大證券／元大投顧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主要文宣／產品：投資早報、投資午報、ETF 動態搶先報、美股盤後資訊、計量強勢股與多市場研究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〔T08–T09〕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格式與入口：投顧網站分類清楚，部分可公開查看列表或樣本 PDF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內容結構：台股策略、指標與籌碼、國際市場、公司／產業／美股研究、總經與 ETF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可借鏡之處：以研究目錄建立『一站式日常研究中心』，適合進階投資人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判讀／限制：不同報告的公開程度與更新時間不一，需登入或逐檔查閱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富邦證券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主要文宣／產品：約 3 分鐘台股 Podcast＋研究報告文章／影音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〔T10–T12〕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格式與入口：Podcast 平台可訂閱；研究站提供文章與報告入口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內容結構：昨日盤勢、成交量、強弱產業、支撐壓力；今日看法與操作策略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可借鏡之處：極短音訊降低盤前閱讀成本，適合通勤與新手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判讀／限制：短音訊須搭配圖表或連結，否則數字回查不易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國泰證券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主要文宣／產品：AI 台股投資日報＋AI 庫存管家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〔T06–T07〕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格式與入口：盤後以 Email 送達持股日報；盤中由 App 推播顯著事件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內容結構：AI 市場總結、持股新聞摘要、個股市場情緒與關注度；依庫存千人千面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可借鏡之處：把『整體市場』與『我的持股』直接連結，且以自然語言降低雜訊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判讀／限制：屬客戶型服務；公開資訊未完整揭露寄送條件、版面與風險邏輯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永豐金證券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主要文宣／產品：豐雲學堂『台股盤前』、每日精選文章、新聞與大戶投策略選股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〔T13–T14〕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格式與入口：公開文章、社群與 App；交易日可見盤前內容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內容結構：盤勢與國際事件、法人買賣、題材股、量化排行、投資教學與熱門話題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可借鏡之處：SEO／社群內容與工具導流成熟，能同時服務新手與活躍交易者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判讀／限制：文章流與券商研究需區分；部分內容為新聞轉載或內容行銷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統一證券／統一投顧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主要文宣／產品：投資早報與每日市場研究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〔T15〕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格式與入口：投顧官網提供固定報告入口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內容結構：市場回顧、今日展望、產業與個股研究、重要事件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可借鏡之處：符合傳統投顧晨報使用習慣，適合完整閱讀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判讀／限制：公開頁面能見度不等於完整報告免費可讀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第一金證券／第一金投顧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主要文宣／產品：晨訊、日刊、港股日報、美股日報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〔T16〕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格式與入口：公開分類列表，交易日更新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內容結構：台股盤勢、總經、產業個股，以及港股／美股跨市場摘要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可借鏡之處：以『市場×頻率』分類，讀者較容易找到固定節目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判讀／限制：跨頁與 PDF 閱讀在手機上可能較費力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兆豐證券／兆豐投顧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主要文宣／產品：兆豐投資早報、每日盤前分析音訊、新聞與重要訊息評論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〔T17〕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格式與入口：Web 與音訊；交易日前後更新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內容結構：盤勢判讀、國際與政策事件、產業個股評論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可借鏡之處：同一觀點可用文字與音訊消化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判讀／限制：需更清楚呈現各載體資料截止與更新狀態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華南永昌證券／華南投顧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主要文宣／產品：投顧晨訊、籌碼日報、AI 盤後選股、盤後解析與產業週報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〔T18–T20〕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格式與入口：LINE 官方帳號、App 與投顧網站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內容結構：大盤、資金分布、產業動向、籌碼、AI 選股、研究報告與影音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可借鏡之處：LINE 作為內容目錄並串接持股、成交回報與交易入口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判讀／限制：VIP／客戶內容與公開內容需分層標示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中信證券／中信投顧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主要文宣／產品：每日盤勢分析與市場觀點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〔T21〕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格式與入口：投顧官網文章流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內容結構：總經、技術面、盤勢與操作重點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可借鏡之處：品牌研究觀點集中於單一入口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判讀／限制：固定欄位與寄送機制的公開資訊有限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群益證券／群益投顧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主要文宣／產品：每日盤勢、重大新聞、產業與個股第一手資訊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〔T22〕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格式與入口：Web 與即時數位服務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內容結構：市場、新聞、產業、公司事件與分析師觀點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可借鏡之處：研究與高頻市場資訊結合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判讀／限制：需避免把即時新聞流等同固定日報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合庫證券投顧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主要文宣／產品：每日晨訊、盤勢分析、個股報告、產業簡報、台股／國際週報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〔T23〕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格式與入口：公開研究列表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內容結構：從日常盤勢到中期產業與總經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可借鏡之處：公共可查、分類規則清楚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判讀／限制：介面較偏檔案庫，摘要與個人化較弱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康和證券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主要文宣／產品：每日晨報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〔T24〕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格式與入口：公開晨報頁／PDF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內容結構：市場回顧、國際重點、台股觀察與個股資訊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可借鏡之處：固定日報入口簡潔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判讀／限制：公開檔案更新連續性需逐日確認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國票證券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主要文宣／產品：早報／晚報與海外市場報告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〔T25〕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格式與入口：公開列表／PDF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內容結構：日間與收盤後重點、海外市場與焦點事件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可借鏡之處：以時段區分，方便活躍投資人追蹤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判讀／限制：表格／PDF 仍可增加一頁式摘要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宏遠證券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主要文宣／產品：國際投資晨報、即時新聞、總經、產業、公司與外資動向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〔T26〕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格式與入口：公開官網內容區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內容結構：國際市場與台股法人資訊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可借鏡之處：能以全球資訊支持台股開盤前判斷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判讀／限制：內容類型多，需以固定日報首頁降低搜尋成本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台新證券（含原元富）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主要文宣／產品：合併後官網公告、交易資訊與 App 服務；原元富品牌已消滅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〔T27–T28〕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格式與入口：2026/4/6 合併，以台新證券為存續公司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內容結構：公開可驗證的現行固定日報尚不足；不將歷史元富報告當成現況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可借鏡之處：品牌整併提供重新設計單一內容中心的機會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判讀／限制：此項以官方合併公告為準；產品內容後續可能快速調整</w:t>
      </w: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2.2 台灣市場的五種內容產品型態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1700"/>
        <w:gridCol w:w="2200"/>
        <w:gridCol w:w="2360"/>
        <w:gridCol w:w="160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型態</w:t>
            </w:r>
          </w:p>
        </w:tc>
        <w:tc>
          <w:tcPr>
            <w:tcW w:type="dxa" w:w="17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代表</w:t>
            </w:r>
          </w:p>
        </w:tc>
        <w:tc>
          <w:tcPr>
            <w:tcW w:type="dxa" w:w="22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優點</w:t>
            </w:r>
          </w:p>
        </w:tc>
        <w:tc>
          <w:tcPr>
            <w:tcW w:type="dxa" w:w="236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缺點／風險</w:t>
            </w:r>
          </w:p>
        </w:tc>
        <w:tc>
          <w:tcPr>
            <w:tcW w:type="dxa" w:w="16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最適用族群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研究 PDF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凱基、元大、統一、第一金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完整、可保存、適合法人式研究</w:t>
            </w:r>
          </w:p>
        </w:tc>
        <w:tc>
          <w:tcPr>
            <w:tcW w:type="dxa" w:w="2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手機閱讀重、資訊過期快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進階投資人／研究者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極短音訊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富邦、兆豐、凱基語音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通勤友善、完成率高</w:t>
            </w:r>
          </w:p>
        </w:tc>
        <w:tc>
          <w:tcPr>
            <w:tcW w:type="dxa" w:w="2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數字與圖表不易回看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忙碌上班族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公開文章流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永豐、群益、中信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SEO、分享與導流強</w:t>
            </w:r>
          </w:p>
        </w:tc>
        <w:tc>
          <w:tcPr>
            <w:tcW w:type="dxa" w:w="2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固定性與訊息優先級不明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新手／社群使用者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LINE／App 聚合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華南、凱基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推播、帳務、內容與交易整合</w:t>
            </w:r>
          </w:p>
        </w:tc>
        <w:tc>
          <w:tcPr>
            <w:tcW w:type="dxa" w:w="2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通知過量、深層入口多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既有客戶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持股個人化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國泰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相關性高、減少資訊雜訊</w:t>
            </w:r>
          </w:p>
        </w:tc>
        <w:tc>
          <w:tcPr>
            <w:tcW w:type="dxa" w:w="2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模型解釋、偏誤與隱私要求高</w:t>
            </w:r>
          </w:p>
        </w:tc>
        <w:tc>
          <w:tcPr>
            <w:tcW w:type="dxa" w:w="1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有庫存的數位客戶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pageBreakBefore/>
        <w:widowControl/>
      </w:pPr>
      <w:r>
        <w:rPr>
          <w:rFonts w:ascii="Noto Sans T Chinese" w:hAnsi="Noto Sans T Chinese" w:eastAsia="Noto Sans T Chinese"/>
          <w:b/>
          <w:color w:val="2E74B5"/>
          <w:sz w:val="32"/>
        </w:rPr>
        <w:t>3　凱基隨身 e 策略與台股日報深度拆解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c>
          <w:tcPr>
            <w:tcW w:type="dxa" w:w="180"/>
            <w:shd w:fill="1F7A8C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</w:pPr>
          </w:p>
        </w:tc>
        <w:tc>
          <w:tcPr>
            <w:tcW w:type="dxa" w:w="9180"/>
            <w:shd w:fill="EDF5FA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40"/>
            </w:pPr>
            <w:r>
              <w:rPr>
                <w:rFonts w:ascii="Noto Sans T Chinese" w:hAnsi="Noto Sans T Chinese" w:eastAsia="Noto Sans T Chinese"/>
                <w:b/>
                <w:color w:val="1F7A8C"/>
                <w:sz w:val="21"/>
              </w:rPr>
              <w:t>先釐清名稱</w:t>
              <w:br/>
            </w:r>
            <w:r>
              <w:rPr>
                <w:rFonts w:ascii="Noto Sans T Chinese" w:hAnsi="Noto Sans T Chinese" w:eastAsia="Noto Sans T Chinese"/>
                <w:color w:val="263238"/>
                <w:sz w:val="19"/>
              </w:rPr>
              <w:t>『凱基隨身 e 策略』是行動交易與投資資訊入口；『KGI 凱基台灣投資領航日報』與『凱基投資早報』是研究內容產品；『語音盤勢播報：台股盤前解析』是音訊格式。它們屬於同一內容生態，但不是同一份文件。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3.1 官方可確認的內容生態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研究站於 2026/7/22 可見：KGI 凱基台灣投資領航日報、語音盤勢播報：台股盤前解析、凱基台股分析、凱基投資早報，以及總經、產業、個股與海外研究。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〔T01〕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隨身 e 策略首頁可自訂資訊；App 提供投顧圖文／影音觀點、籌碼／技術／基本面選股、策略回測與帳務視覺化。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〔T02–T04〕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『輕鬆追股』可依選股策略、個股價量與新聞事件，每日早上以 App 推播提醒。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〔T03〕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『贏家選股』公開說明含每日精選股、市場強勢股、基本面首選與融資波段股，並呈現選股理由與進場觀察。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〔T05〕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專業研究需進入 KGI 專區並完成相關投顧契約／同意程序；研究檔案本身可能需會員登入。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〔T01、T05〕</w:t>
      </w: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3.2 凱基投資早報：可公開驗證的欄位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台股大盤：前一日盤勢、技術／籌碼與今日觀察。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〔T05〕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國際金融：海外股債匯、商品與宏觀事件。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〔T05〕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台股新聞：影響產業與上市櫃公司的重要消息。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〔T05〕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個股投資評等報告：公司觀點、評等、目標價或盈餘預估。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〔T05〕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評等更新研究報告一覽表：快速檢視研究變動。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〔T05〕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本月融資波段操作標的：以融資／波段框架整理觀察名單。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〔T05〕</w:t>
      </w:r>
    </w:p>
    <w:p>
      <w:pPr>
        <w:widowControl/>
        <w:spacing w:after="100"/>
      </w:pPr>
      <w:r>
        <w:rPr>
          <w:rFonts w:ascii="Noto Sans T Chinese" w:hAnsi="Noto Sans T Chinese" w:eastAsia="Noto Sans T Chinese"/>
          <w:color w:val="5F6B73"/>
          <w:sz w:val="18"/>
        </w:rPr>
        <w:t>注意：上述為官方『贏家選股』頁面公開描述的投資早報內容；『台灣投資領航日報』實際 PDF 因登入限制，本報告不推測其完整章節。</w:t>
      </w: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3.3 使用者旅程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3600"/>
        <w:gridCol w:w="4360"/>
      </w:tblGrid>
      <w:tr>
        <w:trPr>
          <w:tblHeader w:val="true"/>
        </w:trPr>
        <w:tc>
          <w:tcPr>
            <w:tcW w:type="dxa" w:w="14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7"/>
              </w:rPr>
              <w:t>階段</w:t>
            </w:r>
          </w:p>
        </w:tc>
        <w:tc>
          <w:tcPr>
            <w:tcW w:type="dxa" w:w="36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7"/>
              </w:rPr>
              <w:t>觸點</w:t>
            </w:r>
          </w:p>
        </w:tc>
        <w:tc>
          <w:tcPr>
            <w:tcW w:type="dxa" w:w="436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7"/>
              </w:rPr>
              <w:t>使用者任務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發現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App 首頁／LINE KGI 區／研究站</w:t>
            </w:r>
          </w:p>
        </w:tc>
        <w:tc>
          <w:tcPr>
            <w:tcW w:type="dxa" w:w="4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看到盤前、研究或選股入口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取得權限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登入、開戶或簽署投顧同意</w:t>
            </w:r>
          </w:p>
        </w:tc>
        <w:tc>
          <w:tcPr>
            <w:tcW w:type="dxa" w:w="4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解鎖研究報告與專業內容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閱讀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早報、領航日報、語音、圖文影音</w:t>
            </w:r>
          </w:p>
        </w:tc>
        <w:tc>
          <w:tcPr>
            <w:tcW w:type="dxa" w:w="4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由大盤到產業與個股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篩選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策略選股、每日精選、回測</w:t>
            </w:r>
          </w:p>
        </w:tc>
        <w:tc>
          <w:tcPr>
            <w:tcW w:type="dxa" w:w="4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建立候選觀察名單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追蹤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價、量、新聞與策略推播</w:t>
            </w:r>
          </w:p>
        </w:tc>
        <w:tc>
          <w:tcPr>
            <w:tcW w:type="dxa" w:w="4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每日早上或事件觸發提醒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交易／檢視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下單與帳務視覺化</w:t>
            </w:r>
          </w:p>
        </w:tc>
        <w:tc>
          <w:tcPr>
            <w:tcW w:type="dxa" w:w="4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從內容閉環到執行與績效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3.4 優勢、缺口與改版建議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50"/>
        <w:gridCol w:w="2200"/>
        <w:gridCol w:w="2820"/>
        <w:gridCol w:w="3090"/>
      </w:tblGrid>
      <w:tr>
        <w:trPr>
          <w:tblHeader w:val="true"/>
        </w:trPr>
        <w:tc>
          <w:tcPr>
            <w:tcW w:type="dxa" w:w="12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5"/>
              </w:rPr>
              <w:t>面向</w:t>
            </w:r>
          </w:p>
        </w:tc>
        <w:tc>
          <w:tcPr>
            <w:tcW w:type="dxa" w:w="22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5"/>
              </w:rPr>
              <w:t>現有優勢</w:t>
            </w:r>
          </w:p>
        </w:tc>
        <w:tc>
          <w:tcPr>
            <w:tcW w:type="dxa" w:w="282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5"/>
              </w:rPr>
              <w:t>可能缺口（研究判讀）</w:t>
            </w:r>
          </w:p>
        </w:tc>
        <w:tc>
          <w:tcPr>
            <w:tcW w:type="dxa" w:w="309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5"/>
              </w:rPr>
              <w:t>建議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內容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大盤、國際、產業、個股、海外完整</w:t>
            </w:r>
          </w:p>
        </w:tc>
        <w:tc>
          <w:tcPr>
            <w:tcW w:type="dxa" w:w="28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同日多份報告易重複</w:t>
            </w:r>
          </w:p>
        </w:tc>
        <w:tc>
          <w:tcPr>
            <w:tcW w:type="dxa" w:w="30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以『今日主報』統整，其餘為深入閱讀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格式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PDF、語音、圖文影音、推播</w:t>
            </w:r>
          </w:p>
        </w:tc>
        <w:tc>
          <w:tcPr>
            <w:tcW w:type="dxa" w:w="28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跨載體摘要可能不一致</w:t>
            </w:r>
          </w:p>
        </w:tc>
        <w:tc>
          <w:tcPr>
            <w:tcW w:type="dxa" w:w="30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共用一個編輯摘要與資料時間戳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工具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選股、回測、追蹤與交易串接</w:t>
            </w:r>
          </w:p>
        </w:tc>
        <w:tc>
          <w:tcPr>
            <w:tcW w:type="dxa" w:w="28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從研究到動作的理由鏈可更明確</w:t>
            </w:r>
          </w:p>
        </w:tc>
        <w:tc>
          <w:tcPr>
            <w:tcW w:type="dxa" w:w="30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顯示『因何入選、何時失效、相關報告』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個人化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自選股／事件推播成熟</w:t>
            </w:r>
          </w:p>
        </w:tc>
        <w:tc>
          <w:tcPr>
            <w:tcW w:type="dxa" w:w="28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公開資料未證實完整持股日報</w:t>
            </w:r>
          </w:p>
        </w:tc>
        <w:tc>
          <w:tcPr>
            <w:tcW w:type="dxa" w:w="30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加入持股曝險、庫存事件與個人待辦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入口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App、LINE、研究站皆可觸達</w:t>
            </w:r>
          </w:p>
        </w:tc>
        <w:tc>
          <w:tcPr>
            <w:tcW w:type="dxa" w:w="28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需登入／簽署且名稱多</w:t>
            </w:r>
          </w:p>
        </w:tc>
        <w:tc>
          <w:tcPr>
            <w:tcW w:type="dxa" w:w="30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一個入口、三層內容、清楚標權限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風險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投顧研究有專業流程</w:t>
            </w:r>
          </w:p>
        </w:tc>
        <w:tc>
          <w:tcPr>
            <w:tcW w:type="dxa" w:w="28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AI／選股易被誤解為保證</w:t>
            </w:r>
          </w:p>
        </w:tc>
        <w:tc>
          <w:tcPr>
            <w:tcW w:type="dxa" w:w="30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揭露模型、資料截止、情境與最大風險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3.5 建議的凱基『一頁式今日主報』</w:t>
      </w:r>
    </w:p>
    <w:p>
      <w:pPr>
        <w:spacing w:after="50" w:line="269" w:lineRule="auto"/>
        <w:widowControl/>
        <w:numPr>
          <w:ilvl w:val="0"/>
          <w:numId w:val="10"/>
        </w:numPr>
      </w:pPr>
      <w:r>
        <w:rPr>
          <w:rFonts w:ascii="Noto Sans T Chinese" w:hAnsi="Noto Sans T Chinese" w:eastAsia="Noto Sans T Chinese"/>
          <w:color w:val="263238"/>
          <w:sz w:val="19"/>
        </w:rPr>
        <w:t>30 秒結論：今日偏多／中性／偏空、三個關鍵理由、最大風險。</w:t>
      </w:r>
    </w:p>
    <w:p>
      <w:pPr>
        <w:spacing w:after="50" w:line="269" w:lineRule="auto"/>
        <w:widowControl/>
        <w:numPr>
          <w:ilvl w:val="0"/>
          <w:numId w:val="10"/>
        </w:numPr>
      </w:pPr>
      <w:r>
        <w:rPr>
          <w:rFonts w:ascii="Noto Sans T Chinese" w:hAnsi="Noto Sans T Chinese" w:eastAsia="Noto Sans T Chinese"/>
          <w:color w:val="263238"/>
          <w:sz w:val="19"/>
        </w:rPr>
        <w:t>隔夜到台股：美股／利率／匯率／商品 → 台股三個最直接受影響族群。</w:t>
      </w:r>
    </w:p>
    <w:p>
      <w:pPr>
        <w:spacing w:after="50" w:line="269" w:lineRule="auto"/>
        <w:widowControl/>
        <w:numPr>
          <w:ilvl w:val="0"/>
          <w:numId w:val="10"/>
        </w:numPr>
      </w:pPr>
      <w:r>
        <w:rPr>
          <w:rFonts w:ascii="Noto Sans T Chinese" w:hAnsi="Noto Sans T Chinese" w:eastAsia="Noto Sans T Chinese"/>
          <w:color w:val="263238"/>
          <w:sz w:val="19"/>
        </w:rPr>
        <w:t>我的曝險：庫存與自選股受影響方向、相關新聞、法說／除權息／公告。</w:t>
      </w:r>
    </w:p>
    <w:p>
      <w:pPr>
        <w:spacing w:after="50" w:line="269" w:lineRule="auto"/>
        <w:widowControl/>
        <w:numPr>
          <w:ilvl w:val="0"/>
          <w:numId w:val="10"/>
        </w:numPr>
      </w:pPr>
      <w:r>
        <w:rPr>
          <w:rFonts w:ascii="Noto Sans T Chinese" w:hAnsi="Noto Sans T Chinese" w:eastAsia="Noto Sans T Chinese"/>
          <w:color w:val="263238"/>
          <w:sz w:val="19"/>
        </w:rPr>
        <w:t>今日時間表：盤前數據、法說、財報、經濟數據與可能波動時點。</w:t>
      </w:r>
    </w:p>
    <w:p>
      <w:pPr>
        <w:spacing w:after="50" w:line="269" w:lineRule="auto"/>
        <w:widowControl/>
        <w:numPr>
          <w:ilvl w:val="0"/>
          <w:numId w:val="10"/>
        </w:numPr>
      </w:pPr>
      <w:r>
        <w:rPr>
          <w:rFonts w:ascii="Noto Sans T Chinese" w:hAnsi="Noto Sans T Chinese" w:eastAsia="Noto Sans T Chinese"/>
          <w:color w:val="263238"/>
          <w:sz w:val="19"/>
        </w:rPr>
        <w:t>籌碼與輪動：三大法人、期貨、融資、ETF 資金與市場廣度。</w:t>
      </w:r>
    </w:p>
    <w:p>
      <w:pPr>
        <w:spacing w:after="50" w:line="269" w:lineRule="auto"/>
        <w:widowControl/>
        <w:numPr>
          <w:ilvl w:val="0"/>
          <w:numId w:val="10"/>
        </w:numPr>
      </w:pPr>
      <w:r>
        <w:rPr>
          <w:rFonts w:ascii="Noto Sans T Chinese" w:hAnsi="Noto Sans T Chinese" w:eastAsia="Noto Sans T Chinese"/>
          <w:color w:val="263238"/>
          <w:sz w:val="19"/>
        </w:rPr>
        <w:t>策略卡：基本／樂觀／保守三情境，關鍵價與失效條件。</w:t>
      </w:r>
    </w:p>
    <w:p>
      <w:pPr>
        <w:spacing w:after="50" w:line="269" w:lineRule="auto"/>
        <w:widowControl/>
        <w:numPr>
          <w:ilvl w:val="0"/>
          <w:numId w:val="10"/>
        </w:numPr>
      </w:pPr>
      <w:r>
        <w:rPr>
          <w:rFonts w:ascii="Noto Sans T Chinese" w:hAnsi="Noto Sans T Chinese" w:eastAsia="Noto Sans T Chinese"/>
          <w:color w:val="263238"/>
          <w:sz w:val="19"/>
        </w:rPr>
        <w:t>深入閱讀：連到台灣投資領航日報、投資早報、產業與個股報告。</w:t>
      </w:r>
    </w:p>
    <w:p>
      <w:pPr>
        <w:pStyle w:val="Heading1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32"/>
        </w:rPr>
        <w:t>4　海外券商與平台案例</w:t>
      </w:r>
    </w:p>
    <w:p>
      <w:pPr>
        <w:widowControl/>
        <w:spacing w:after="100"/>
      </w:pPr>
      <w:r>
        <w:rPr>
          <w:rFonts w:ascii="Noto Sans T Chinese" w:hAnsi="Noto Sans T Chinese" w:eastAsia="Noto Sans T Chinese"/>
          <w:color w:val="263238"/>
          <w:sz w:val="21"/>
        </w:rPr>
        <w:t>海外案例的重點不在複製市場內容，而是學習資訊架構：明確的時間節點、讀完時間、催化劑、持股關聯、行動與風險。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2300"/>
        <w:gridCol w:w="1250"/>
        <w:gridCol w:w="1500"/>
        <w:gridCol w:w="2760"/>
      </w:tblGrid>
      <w:tr>
        <w:trPr>
          <w:tblHeader w:val="true"/>
        </w:trPr>
        <w:tc>
          <w:tcPr>
            <w:tcW w:type="dxa" w:w="15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5"/>
              </w:rPr>
              <w:t>券商／平台</w:t>
            </w:r>
          </w:p>
        </w:tc>
        <w:tc>
          <w:tcPr>
            <w:tcW w:type="dxa" w:w="23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5"/>
              </w:rPr>
              <w:t>產品</w:t>
            </w:r>
          </w:p>
        </w:tc>
        <w:tc>
          <w:tcPr>
            <w:tcW w:type="dxa" w:w="12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5"/>
              </w:rPr>
              <w:t>頻率</w:t>
            </w:r>
          </w:p>
        </w:tc>
        <w:tc>
          <w:tcPr>
            <w:tcW w:type="dxa" w:w="15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5"/>
              </w:rPr>
              <w:t>載體</w:t>
            </w:r>
          </w:p>
        </w:tc>
        <w:tc>
          <w:tcPr>
            <w:tcW w:type="dxa" w:w="276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5"/>
              </w:rPr>
              <w:t>內容特色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Charles Schwab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Schwab Market Update／Schwab Network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平日早晨＋盤中節目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Email、Web、直播</w:t>
            </w:r>
          </w:p>
        </w:tc>
        <w:tc>
          <w:tcPr>
            <w:tcW w:type="dxa" w:w="2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盤前、開盤、宏觀、收盤完整節奏〔I01–I03〕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Robinhood／Sherwood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Snacks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平日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Email、Web、App</w:t>
            </w:r>
          </w:p>
        </w:tc>
        <w:tc>
          <w:tcPr>
            <w:tcW w:type="dxa" w:w="2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短篇故事化＋The Takeaway〔I04–I06〕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Interactive Brokers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Traders' Insight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每日／高頻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Web、Email、RSS、平台新聞</w:t>
            </w:r>
          </w:p>
        </w:tc>
        <w:tc>
          <w:tcPr>
            <w:tcW w:type="dxa" w:w="2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跨資產、專家來源、可訂閱〔I07–I09〕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E*TRADE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Daily Insights／Market Recap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每日早晨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Web／Email</w:t>
            </w:r>
          </w:p>
        </w:tc>
        <w:tc>
          <w:tcPr>
            <w:tcW w:type="dxa" w:w="2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財報、IPO、經濟數據、異動股〔I10〕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Fidelity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Trading Post／Weekly Market Update／Viewpoints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日內＋週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Web、Email、影音</w:t>
            </w:r>
          </w:p>
        </w:tc>
        <w:tc>
          <w:tcPr>
            <w:tcW w:type="dxa" w:w="2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晨／午／盤後簡報與教育內容〔I11–I13〕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Merrill Edge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Stock Market Today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盤中／每日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Web／App</w:t>
            </w:r>
          </w:p>
        </w:tc>
        <w:tc>
          <w:tcPr>
            <w:tcW w:type="dxa" w:w="2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市場總覽與研究入口〔I14〕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moomoo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Morning Brief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交易日文章流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App、Web、社群</w:t>
            </w:r>
          </w:p>
        </w:tc>
        <w:tc>
          <w:tcPr>
            <w:tcW w:type="dxa" w:w="2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標題式快速晨報與熱門股〔I15〕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Tiger Brokers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Asia Morning Call／TigerAI brief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交易日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App、Web</w:t>
            </w:r>
          </w:p>
        </w:tc>
        <w:tc>
          <w:tcPr>
            <w:tcW w:type="dxa" w:w="2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全球資產快照＋AI 個股摘要〔I16–I17〕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Phillip Securities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Daily Morning Note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交易日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Email、Web、PDF</w:t>
            </w:r>
          </w:p>
        </w:tc>
        <w:tc>
          <w:tcPr>
            <w:tcW w:type="dxa" w:w="2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Trade of the Day、進場、停損、目標〔I18–I20〕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IG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Morning Call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每交易日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Email、Web</w:t>
            </w:r>
          </w:p>
        </w:tc>
        <w:tc>
          <w:tcPr>
            <w:tcW w:type="dxa" w:w="2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全球指數、前日異動、日曆與交易想法〔I21〕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Saxo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Daily Market Update／Market Call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交易日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Web、Podcast、Email</w:t>
            </w:r>
          </w:p>
        </w:tc>
        <w:tc>
          <w:tcPr>
            <w:tcW w:type="dxa" w:w="2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跨資產、總經、數據行事曆〔I22–I24〕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CMC Markets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Opto／Daily stock analysis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每日文章流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Web、Email、Podcast</w:t>
            </w:r>
          </w:p>
        </w:tc>
        <w:tc>
          <w:tcPr>
            <w:tcW w:type="dxa" w:w="2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主題、個股與策略內容〔I25〕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Hargreaves Lansdown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Daily market update／research updates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每日／事件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Email、Web</w:t>
            </w:r>
          </w:p>
        </w:tc>
        <w:tc>
          <w:tcPr>
            <w:tcW w:type="dxa" w:w="2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FTSE 漲跌、新聞、研究與券商評論〔I26–I28〕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AJ Bell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Shares／market updates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每日文章流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Web、Email</w:t>
            </w:r>
          </w:p>
        </w:tc>
        <w:tc>
          <w:tcPr>
            <w:tcW w:type="dxa" w:w="2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市場新聞與投資者文章〔I29–I30〕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CommSec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Market Update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平日 8am／6pm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Podcast、App、Web</w:t>
            </w:r>
          </w:p>
        </w:tc>
        <w:tc>
          <w:tcPr>
            <w:tcW w:type="dxa" w:w="2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隔夜晨報＋澳股收盤雙節奏〔I31–I33〕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Anue Securities HK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Daily Report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交易日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Web／PDF</w:t>
            </w:r>
          </w:p>
        </w:tc>
        <w:tc>
          <w:tcPr>
            <w:tcW w:type="dxa" w:w="2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5"/>
              </w:rPr>
              <w:t>市況、今日推薦、目標與停損〔I34〕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4.1 海外案例逐家重點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Charles Schwab（美國）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主要文宣／產品：Schwab Market Update 與 Schwab Network 多時段節目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〔I01–I03〕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格式與入口：平日晨間電子報；網路節目涵蓋 Morning Movers、Opening Bell、Morning Trade Live、Market on Close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內容結構：隔夜新聞、盤前異動、技術觀察、宏觀主題、開盤與收盤總結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可借鏡之處：把交易日拆成固定節目，建立使用習慣與清楚的時間承諾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判讀／限制：直播內容多，若要服務亞洲讀者需另做時區與重點摘要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Robinhood／Sherwood（美國）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主要文宣／產品：Robinhood Snacks／Sherwood Snacks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〔I04–I06〕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格式與入口：平日電子郵件與公開網頁，可管理訂閱偏好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內容結構：以少數商業與市場故事開場，每則提供易懂脈絡與 The Takeaway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可借鏡之處：短、可分享、具編輯聲音，適合新手建立每日閱讀習慣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判讀／限制：故事化可能犧牲完整市場覆蓋，需搭配資料卡與風險提醒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Interactive Brokers（全球）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主要文宣／產品：Traders' Insight 與交易平台 News Panel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〔I07–I09〕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格式與入口：Web、每日 Email、RSS；平台整合多家新聞供應商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內容結構：股票、選擇權、期貨、外匯、債券、ETF、商品與總經評論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可借鏡之處：跨資產深度、專家來源多，可依主題訂閱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判讀／限制：內容量龐大，需更強的個人化排序與摘要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E*TRADE（美國）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主要文宣／產品：Daily Insights／Market Recap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〔I10〕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格式與入口：每日早晨更新的 Web 文章／內容訂閱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內容結構：財報、IPO、經濟報告、重大事件與市場異動股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可借鏡之處：今日催化劑與公司事件集中，適合盤前掃描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判讀／限制：研究深度與個人化較有限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Fidelity（美國）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主要文宣／產品：Trading Post、Weekly Market Update、Viewpoints 電子報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〔I11–I13〕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格式與入口：晨間、午間、盤後簡報；另有週報與主題訂閱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內容結構：市場走勢、事件解讀、教育與長期投資觀點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可借鏡之處：把即時交易內容與長期教育內容分層，不強迫一份報告包全部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判讀／限制：不是單一固定『每日電子報』，不同內容需分開訂閱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Merrill Edge（美國）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主要文宣／產品：Stock Market Today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〔I14〕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格式與入口：網站／App 即時市場總覽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內容結構：主要指數、新聞、研究與市場工具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可借鏡之處：在交易入口提供快速市場脈絡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判讀／限制：較像即時看板，不是固定欄位的晨報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moomoo（全球）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主要文宣／產品：Morning Brief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〔I15〕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格式與入口：交易日 App／Web 文章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內容結構：市場頭條、熱門公司、關鍵數字與短評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可借鏡之處：高密度標題適合快速滑讀，也容易社群分享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判讀／限制：內容來源與編輯品質需逐篇判讀，避免把社群熱度當研究共識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Tiger Brokers（亞洲）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主要文宣／產品：Asia Morning Call 與 TigerAI 個股資訊 brief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〔I16–I17〕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格式與入口：交易日 App／Web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內容結構：全球指數、債券、匯率、商品；AI 摘要個股資訊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可借鏡之處：跨市場快照貼近亞洲交易時區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判讀／限制：AI 摘要需揭露資料來源與可能遺漏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Phillip Securities（新加坡）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主要文宣／產品：Daily Morning Note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〔I18–I20〕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格式與入口：交易日 Email、Web／PDF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內容結構：市場摘要、Trade of the Day、技術買點、Buy Stop、Stop Loss、兩段 Take Profit 與公司研究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可借鏡之處：把觀點轉成完整交易框架，行動與風險最明確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判讀／限制：對大眾客戶應嚴格處理適合度、風險揭露與歷史績效偏誤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IG（英國／全球）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主要文宣／產品：Morning Call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〔I21〕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格式與入口：每交易日 Email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內容結構：全球指數收盤與預估開盤、最大異動股、經濟事件與交易想法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可借鏡之處：直接回答『昨晚發生什麼、今天會影響什麼』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判讀／限制：偏差價合約／交易族群，內容風險層級較高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Saxo（丹麥／全球）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主要文宣／產品：Insights、Daily Market Update／Market Call Podcast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〔I22–I24〕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格式與入口：交易日 Web、Podcast、影音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內容結構：股票、原油、貴金屬、外匯與總經數據行事曆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可借鏡之處：跨資產敘事完整，音訊與文章互補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判讀／限制：資訊較專業，需為一般投資人加上名詞與台股映射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CMC Markets（英國／全球）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主要文宣／產品：Opto 每日個股與市場分析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〔I25〕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格式與入口：公開文章流、Email、Podcast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內容結構：個股、產業主題、策略與市場新聞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可借鏡之處：以主題聚合內容，適合探索式閱讀與搜尋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判讀／限制：不是嚴格固定格式的每日晨報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Hargreaves Lansdown（英國）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主要文宣／產品：Daily market updates 與個股研究更新訂閱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〔I26–I28〕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格式與入口：每日 Email／Web，另可依持股訂研究更新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內容結構：FTSE 漲跌、即時新聞、研究、tips 與 broker comments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可借鏡之處：把市場總覽與關注個股更新分開訂閱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判讀／限制：英國市場比重高，台灣應改為台股／美股／ETF 模組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AJ Bell（英國）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主要文宣／產品：Shares／Stockmarket 內容與 latest news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〔I29–I30〕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格式與入口：每日文章流與 Email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內容結構：市場新聞、公司事件、投資人教育與專欄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可借鏡之處：內容中心易瀏覽，兼顧新手與自主投資人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判讀／限制：固定日報節奏不如 Email-first 案例明確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CommSec（澳洲）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主要文宣／產品：CommSec Market Update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〔I31–I33〕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格式與入口：平日約 8am 與 6pm 兩集 Podcast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內容結構：晨間約十分鐘回顧隔夜全球市場與今日展望；晚間總結澳股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可借鏡之處：一早一晚雙節奏、長度可預期，通勤使用情境明確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判讀／限制：音訊需提供可掃描文字摘要與圖表連結</w:t>
      </w:r>
    </w:p>
    <w:p>
      <w:pPr>
        <w:pStyle w:val="Heading3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123A5A"/>
          <w:sz w:val="23"/>
        </w:rPr>
        <w:t>Anue Securities（香港）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主要文宣／產品：Daily Report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〔I34〕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格式與入口：交易日公開 Web／PDF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內容結構：市況觀點、今日推薦、目標價與停損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E7D5B"/>
          <w:sz w:val="20"/>
        </w:rPr>
        <w:t>可借鏡之處：極簡、直接、可執行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5F6B73"/>
          <w:sz w:val="20"/>
        </w:rPr>
        <w:t>判讀／限制：應加強研究依據、情境與風險敘述，避免只剩單點價格</w:t>
      </w: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4.2 海外值得借鏡的內容設計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時間承諾：Schwab、CommSec 以晨間／盤中／收盤建立固定節奏。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讀者承諾：Robinhood Snacks 用短篇與 Takeaway 告訴使用者可快速讀完。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跨資產脈絡：IBKR、Saxo、Tiger 把股、債、匯、商品放在同一張地圖。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行動與風險：Phillip、IG、Anue 把催化劑、交易想法、目標與停損寫清楚。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分層而非塞滿：Fidelity 將日內簡報、週報與長期觀點拆成不同產品。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訂閱控制：依市場、主題、個股、頻率與載體選擇，而非所有人收同一封。</w:t>
      </w:r>
    </w:p>
    <w:p>
      <w:pPr>
        <w:pStyle w:val="Heading1"/>
        <w:keepNext/>
        <w:pageBreakBefore/>
        <w:widowControl/>
      </w:pPr>
      <w:r>
        <w:rPr>
          <w:rFonts w:ascii="Noto Sans T Chinese" w:hAnsi="Noto Sans T Chinese" w:eastAsia="Noto Sans T Chinese"/>
          <w:b/>
          <w:color w:val="2E74B5"/>
          <w:sz w:val="32"/>
        </w:rPr>
        <w:t>5　台灣投資人想看到什麼</w:t>
      </w: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5.1 有資料支持的需求訊號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c>
          <w:tcPr>
            <w:tcW w:type="dxa" w:w="180"/>
            <w:shd w:fill="2E7D5B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</w:pPr>
          </w:p>
        </w:tc>
        <w:tc>
          <w:tcPr>
            <w:tcW w:type="dxa" w:w="9180"/>
            <w:shd w:fill="EEF7F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40"/>
            </w:pPr>
            <w:r>
              <w:rPr>
                <w:rFonts w:ascii="Noto Sans T Chinese" w:hAnsi="Noto Sans T Chinese" w:eastAsia="Noto Sans T Chinese"/>
                <w:b/>
                <w:color w:val="2E7D5B"/>
                <w:sz w:val="21"/>
              </w:rPr>
              <w:t>最新調查重點</w:t>
              <w:br/>
            </w:r>
            <w:r>
              <w:rPr>
                <w:rFonts w:ascii="Noto Sans T Chinese" w:hAnsi="Noto Sans T Chinese" w:eastAsia="Noto Sans T Chinese"/>
                <w:color w:val="263238"/>
                <w:sz w:val="19"/>
              </w:rPr>
              <w:t>投信投顧公會 2026/4 公布的六年追蹤調查顯示：ETF 已成主流、行動 App 取代傳統下單、資訊來源轉向社群／網紅；54% 對 AI 理財有一定認知，偏好的服務模式以『AI 主、真人顧問輔助』居首（36%）。對 AI 的首要期待是風險預警與市場分析（61%），其次是個人化投資組合（52%）與自動資產配置（45%）。</w:t>
            </w:r>
          </w:p>
        </w:tc>
      </w:tr>
    </w:tbl>
    <w:p>
      <w:pPr>
        <w:widowControl/>
        <w:spacing w:after="40"/>
      </w:pP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ETF：偏好低成本、透明、彈性；因此日報需納入折溢價、成分與配息變動，而不只報價格。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〔D01–D04〕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行動優先：App 已成主流，日報首屏要能在手機 30 秒讀完，完整 PDF 只是深入層。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〔D01〕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社群影響增加：券商必須提供可分享的簡短解釋，但同時保留來源、時間戳與官方查核。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〔D01〕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AI 需求是『預警＋分析＋個人化』，不是單純生成更長文字；真人研究與客服仍是信任備援。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〔D01〕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投資地域以台灣與美國為主，科技、金融、能源等產業關注度高；國際事件需翻譯成台股與美股曝險。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〔D05〕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不同年齡的風險與內容偏好不同：新手需要教育與防詐，資深投資人更在意穩定收益、信任與風險。</w:t>
      </w:r>
      <w:r>
        <w:rPr>
          <w:rFonts w:ascii="Noto Sans T Chinese" w:hAnsi="Noto Sans T Chinese" w:eastAsia="Noto Sans T Chinese"/>
          <w:b/>
          <w:color w:val="2E74B5"/>
          <w:sz w:val="16"/>
        </w:rPr>
        <w:t xml:space="preserve"> 〔D01、D06〕</w:t>
      </w: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5.2 優先內容清單（建議排序）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2300"/>
        <w:gridCol w:w="61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7"/>
              </w:rPr>
              <w:t>優先級</w:t>
            </w:r>
          </w:p>
        </w:tc>
        <w:tc>
          <w:tcPr>
            <w:tcW w:type="dxa" w:w="23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7"/>
              </w:rPr>
              <w:t>內容模組</w:t>
            </w:r>
          </w:p>
        </w:tc>
        <w:tc>
          <w:tcPr>
            <w:tcW w:type="dxa" w:w="616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7"/>
              </w:rPr>
              <w:t>讀者真正想解決的問題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P0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今日 30 秒摘要</w:t>
            </w:r>
          </w:p>
        </w:tc>
        <w:tc>
          <w:tcPr>
            <w:tcW w:type="dxa" w:w="6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市場方向、三大理由、最大風險、資料截止時間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P0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隔夜事件 → 台股映射</w:t>
            </w:r>
          </w:p>
        </w:tc>
        <w:tc>
          <w:tcPr>
            <w:tcW w:type="dxa" w:w="6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美股、利率、美元／台幣、油金與政策如何影響台股產業／權值股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P0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持股／自選股影響</w:t>
            </w:r>
          </w:p>
        </w:tc>
        <w:tc>
          <w:tcPr>
            <w:tcW w:type="dxa" w:w="6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新聞、法說、公告、除權息、異常波動、估值與籌碼變化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P0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今日行事曆</w:t>
            </w:r>
          </w:p>
        </w:tc>
        <w:tc>
          <w:tcPr>
            <w:tcW w:type="dxa" w:w="6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經濟數據、財報／法說、申購、除權息、停復牌與政策事件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P0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風險預警</w:t>
            </w:r>
          </w:p>
        </w:tc>
        <w:tc>
          <w:tcPr>
            <w:tcW w:type="dxa" w:w="6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融資維持、集中度、槓桿 ETF、流動性、跳空與重大不確定性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P1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籌碼／市場廣度</w:t>
            </w:r>
          </w:p>
        </w:tc>
        <w:tc>
          <w:tcPr>
            <w:tcW w:type="dxa" w:w="6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三大法人、期貨、融資融券、ETF 資金流、漲跌家數與輪動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P1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產業與供應鏈</w:t>
            </w:r>
          </w:p>
        </w:tc>
        <w:tc>
          <w:tcPr>
            <w:tcW w:type="dxa" w:w="6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驅動因素、報價、庫存、政策、上下游與台灣受惠／受害清單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P1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研究變動</w:t>
            </w:r>
          </w:p>
        </w:tc>
        <w:tc>
          <w:tcPr>
            <w:tcW w:type="dxa" w:w="6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評等、目標價、盈餘預估與理由；標示券商利益衝突與時間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P1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ETF 專區</w:t>
            </w:r>
          </w:p>
        </w:tc>
        <w:tc>
          <w:tcPr>
            <w:tcW w:type="dxa" w:w="6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淨值、折溢價、追蹤差、配息、成分異動、規模／流動性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P2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情境與策略</w:t>
            </w:r>
          </w:p>
        </w:tc>
        <w:tc>
          <w:tcPr>
            <w:tcW w:type="dxa" w:w="6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基本／樂觀／保守三情境、關鍵價、失效條件與下一步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P2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影音／音訊</w:t>
            </w:r>
          </w:p>
        </w:tc>
        <w:tc>
          <w:tcPr>
            <w:tcW w:type="dxa" w:w="6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3 分鐘重點、圖表卡與完整研究連結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P2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教育／防詐</w:t>
            </w:r>
          </w:p>
        </w:tc>
        <w:tc>
          <w:tcPr>
            <w:tcW w:type="dxa" w:w="6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名詞、風險教材、異常股／仙股提醒、官方公告查核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5.3 依族群分眾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2500"/>
        <w:gridCol w:w="2300"/>
        <w:gridCol w:w="30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族群</w:t>
            </w:r>
          </w:p>
        </w:tc>
        <w:tc>
          <w:tcPr>
            <w:tcW w:type="dxa" w:w="25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最想看</w:t>
            </w:r>
          </w:p>
        </w:tc>
        <w:tc>
          <w:tcPr>
            <w:tcW w:type="dxa" w:w="23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不想看</w:t>
            </w:r>
          </w:p>
        </w:tc>
        <w:tc>
          <w:tcPr>
            <w:tcW w:type="dxa" w:w="306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建議格式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新手／小資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市場白話、ETF、風險、防詐、待辦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術語堆疊、單押明牌</w:t>
            </w:r>
          </w:p>
        </w:tc>
        <w:tc>
          <w:tcPr>
            <w:tcW w:type="dxa" w:w="30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30 秒卡＋名詞解釋＋3 分鐘音訊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存股／退休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股息、現金流、基本面、再平衡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過多短線雜訊</w:t>
            </w:r>
          </w:p>
        </w:tc>
        <w:tc>
          <w:tcPr>
            <w:tcW w:type="dxa" w:w="30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週／日摘要＋重大事件觸發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活躍交易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盤前催化、籌碼、異動、關鍵價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延遲資訊與模糊結論</w:t>
            </w:r>
          </w:p>
        </w:tc>
        <w:tc>
          <w:tcPr>
            <w:tcW w:type="dxa" w:w="30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盤前＋午間＋盤後推播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美股／跨市場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美股財報、匯率、時區、ADR／供應鏈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只談台股指數</w:t>
            </w:r>
          </w:p>
        </w:tc>
        <w:tc>
          <w:tcPr>
            <w:tcW w:type="dxa" w:w="30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晚間模組＋隔夜台股映射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高資產／進階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總經、跨資產、估值、風險曝險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無來源的短評</w:t>
            </w:r>
          </w:p>
        </w:tc>
        <w:tc>
          <w:tcPr>
            <w:tcW w:type="dxa" w:w="30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完整研究＋真人顧問回覆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pageBreakBefore/>
        <w:widowControl/>
      </w:pPr>
      <w:r>
        <w:rPr>
          <w:rFonts w:ascii="Noto Sans T Chinese" w:hAnsi="Noto Sans T Chinese" w:eastAsia="Noto Sans T Chinese"/>
          <w:b/>
          <w:color w:val="2E74B5"/>
          <w:sz w:val="32"/>
        </w:rPr>
        <w:t>6　建議產品藍圖</w:t>
      </w: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6.1 三層資訊架構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1500"/>
        <w:gridCol w:w="4150"/>
        <w:gridCol w:w="2310"/>
      </w:tblGrid>
      <w:tr>
        <w:trPr>
          <w:tblHeader w:val="true"/>
        </w:trPr>
        <w:tc>
          <w:tcPr>
            <w:tcW w:type="dxa" w:w="14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7"/>
              </w:rPr>
              <w:t>層級</w:t>
            </w:r>
          </w:p>
        </w:tc>
        <w:tc>
          <w:tcPr>
            <w:tcW w:type="dxa" w:w="15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7"/>
              </w:rPr>
              <w:t>時間成本</w:t>
            </w:r>
          </w:p>
        </w:tc>
        <w:tc>
          <w:tcPr>
            <w:tcW w:type="dxa" w:w="41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7"/>
              </w:rPr>
              <w:t>內容</w:t>
            </w:r>
          </w:p>
        </w:tc>
        <w:tc>
          <w:tcPr>
            <w:tcW w:type="dxa" w:w="231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7"/>
              </w:rPr>
              <w:t>主要載體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L1 快速層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30 秒</w:t>
            </w:r>
          </w:p>
        </w:tc>
        <w:tc>
          <w:tcPr>
            <w:tcW w:type="dxa" w:w="41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方向、3 重點、最大風險、我的持股影響</w:t>
            </w:r>
          </w:p>
        </w:tc>
        <w:tc>
          <w:tcPr>
            <w:tcW w:type="dxa" w:w="231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App 首屏、Email 首屏、LINE 卡片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L2 解釋層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3 分鐘</w:t>
            </w:r>
          </w:p>
        </w:tc>
        <w:tc>
          <w:tcPr>
            <w:tcW w:type="dxa" w:w="41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市場→產業→個股、行事曆、籌碼、策略情境</w:t>
            </w:r>
          </w:p>
        </w:tc>
        <w:tc>
          <w:tcPr>
            <w:tcW w:type="dxa" w:w="231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Web、短文、Podcast、圖表卡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L3 研究層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10–30 分鐘</w:t>
            </w:r>
          </w:p>
        </w:tc>
        <w:tc>
          <w:tcPr>
            <w:tcW w:type="dxa" w:w="41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完整總經、產業、公司模型、估值與法遵揭露</w:t>
            </w:r>
          </w:p>
        </w:tc>
        <w:tc>
          <w:tcPr>
            <w:tcW w:type="dxa" w:w="231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PDF、研究站、分析師影音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6.2 建議發送節奏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2100"/>
        <w:gridCol w:w="4260"/>
        <w:gridCol w:w="130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時段</w:t>
            </w:r>
          </w:p>
        </w:tc>
        <w:tc>
          <w:tcPr>
            <w:tcW w:type="dxa" w:w="21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主產品</w:t>
            </w:r>
          </w:p>
        </w:tc>
        <w:tc>
          <w:tcPr>
            <w:tcW w:type="dxa" w:w="426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必要內容</w:t>
            </w:r>
          </w:p>
        </w:tc>
        <w:tc>
          <w:tcPr>
            <w:tcW w:type="dxa" w:w="13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可由使用者關閉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07:30–08:00</w:t>
            </w:r>
          </w:p>
        </w:tc>
        <w:tc>
          <w:tcPr>
            <w:tcW w:type="dxa" w:w="21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台股盤前主報</w:t>
            </w:r>
          </w:p>
        </w:tc>
        <w:tc>
          <w:tcPr>
            <w:tcW w:type="dxa" w:w="42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隔夜、期貨／匯率、今日事件、關注產業與持股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否（主訂閱）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12:00</w:t>
            </w:r>
          </w:p>
        </w:tc>
        <w:tc>
          <w:tcPr>
            <w:tcW w:type="dxa" w:w="21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午間異動</w:t>
            </w:r>
          </w:p>
        </w:tc>
        <w:tc>
          <w:tcPr>
            <w:tcW w:type="dxa" w:w="42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偏離早報的事件、爆量、法人／期貨變化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14:15–15:00</w:t>
            </w:r>
          </w:p>
        </w:tc>
        <w:tc>
          <w:tcPr>
            <w:tcW w:type="dxa" w:w="21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盤後個人化日報</w:t>
            </w:r>
          </w:p>
        </w:tc>
        <w:tc>
          <w:tcPr>
            <w:tcW w:type="dxa" w:w="42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收盤、持股影響、籌碼、明日待辦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20:30–22:00</w:t>
            </w:r>
          </w:p>
        </w:tc>
        <w:tc>
          <w:tcPr>
            <w:tcW w:type="dxa" w:w="21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美股晚間模組</w:t>
            </w:r>
          </w:p>
        </w:tc>
        <w:tc>
          <w:tcPr>
            <w:tcW w:type="dxa" w:w="42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財報、數據、台灣供應鏈、匯率與風險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事件觸發</w:t>
            </w:r>
          </w:p>
        </w:tc>
        <w:tc>
          <w:tcPr>
            <w:tcW w:type="dxa" w:w="21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風險／公司行動</w:t>
            </w:r>
          </w:p>
        </w:tc>
        <w:tc>
          <w:tcPr>
            <w:tcW w:type="dxa" w:w="42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異常波動、重大公告、除權息、法說、融資與防詐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細項可選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6.3 首頁／Email 版型草案</w:t>
      </w:r>
    </w:p>
    <w:p>
      <w:pPr>
        <w:spacing w:after="50" w:line="269" w:lineRule="auto"/>
        <w:widowControl/>
        <w:numPr>
          <w:ilvl w:val="0"/>
          <w:numId w:val="11"/>
        </w:numPr>
      </w:pPr>
      <w:r>
        <w:rPr>
          <w:rFonts w:ascii="Noto Sans T Chinese" w:hAnsi="Noto Sans T Chinese" w:eastAsia="Noto Sans T Chinese"/>
          <w:color w:val="263238"/>
          <w:sz w:val="19"/>
        </w:rPr>
        <w:t>頂端：日期、資料截止時間、今日市場狀態（偏多／中性／偏空）與信心區間。</w:t>
      </w:r>
    </w:p>
    <w:p>
      <w:pPr>
        <w:spacing w:after="50" w:line="269" w:lineRule="auto"/>
        <w:widowControl/>
        <w:numPr>
          <w:ilvl w:val="0"/>
          <w:numId w:val="11"/>
        </w:numPr>
      </w:pPr>
      <w:r>
        <w:rPr>
          <w:rFonts w:ascii="Noto Sans T Chinese" w:hAnsi="Noto Sans T Chinese" w:eastAsia="Noto Sans T Chinese"/>
          <w:color w:val="263238"/>
          <w:sz w:val="19"/>
        </w:rPr>
        <w:t>第一屏：三大重點、最大風險、我的持股受影響 3 檔。</w:t>
      </w:r>
    </w:p>
    <w:p>
      <w:pPr>
        <w:spacing w:after="50" w:line="269" w:lineRule="auto"/>
        <w:widowControl/>
        <w:numPr>
          <w:ilvl w:val="0"/>
          <w:numId w:val="11"/>
        </w:numPr>
      </w:pPr>
      <w:r>
        <w:rPr>
          <w:rFonts w:ascii="Noto Sans T Chinese" w:hAnsi="Noto Sans T Chinese" w:eastAsia="Noto Sans T Chinese"/>
          <w:color w:val="263238"/>
          <w:sz w:val="19"/>
        </w:rPr>
        <w:t>第二屏：隔夜市場儀表板＋台股產業映射。</w:t>
      </w:r>
    </w:p>
    <w:p>
      <w:pPr>
        <w:spacing w:after="50" w:line="269" w:lineRule="auto"/>
        <w:widowControl/>
        <w:numPr>
          <w:ilvl w:val="0"/>
          <w:numId w:val="11"/>
        </w:numPr>
      </w:pPr>
      <w:r>
        <w:rPr>
          <w:rFonts w:ascii="Noto Sans T Chinese" w:hAnsi="Noto Sans T Chinese" w:eastAsia="Noto Sans T Chinese"/>
          <w:color w:val="263238"/>
          <w:sz w:val="19"/>
        </w:rPr>
        <w:t>第三屏：今日行事曆、籌碼與 ETF 資金流。</w:t>
      </w:r>
    </w:p>
    <w:p>
      <w:pPr>
        <w:spacing w:after="50" w:line="269" w:lineRule="auto"/>
        <w:widowControl/>
        <w:numPr>
          <w:ilvl w:val="0"/>
          <w:numId w:val="11"/>
        </w:numPr>
      </w:pPr>
      <w:r>
        <w:rPr>
          <w:rFonts w:ascii="Noto Sans T Chinese" w:hAnsi="Noto Sans T Chinese" w:eastAsia="Noto Sans T Chinese"/>
          <w:color w:val="263238"/>
          <w:sz w:val="19"/>
        </w:rPr>
        <w:t>第四屏：持股／自選股卡片（事件、方向、理由、關鍵日期、原始來源）。</w:t>
      </w:r>
    </w:p>
    <w:p>
      <w:pPr>
        <w:spacing w:after="50" w:line="269" w:lineRule="auto"/>
        <w:widowControl/>
        <w:numPr>
          <w:ilvl w:val="0"/>
          <w:numId w:val="11"/>
        </w:numPr>
      </w:pPr>
      <w:r>
        <w:rPr>
          <w:rFonts w:ascii="Noto Sans T Chinese" w:hAnsi="Noto Sans T Chinese" w:eastAsia="Noto Sans T Chinese"/>
          <w:color w:val="263238"/>
          <w:sz w:val="19"/>
        </w:rPr>
        <w:t>第五屏：三情境策略、失效條件、深入研究與音訊入口。</w:t>
      </w:r>
    </w:p>
    <w:p>
      <w:pPr>
        <w:spacing w:after="50" w:line="269" w:lineRule="auto"/>
        <w:widowControl/>
        <w:numPr>
          <w:ilvl w:val="0"/>
          <w:numId w:val="11"/>
        </w:numPr>
      </w:pPr>
      <w:r>
        <w:rPr>
          <w:rFonts w:ascii="Noto Sans T Chinese" w:hAnsi="Noto Sans T Chinese" w:eastAsia="Noto Sans T Chinese"/>
          <w:color w:val="263238"/>
          <w:sz w:val="19"/>
        </w:rPr>
        <w:t>底部：資料來源、分析師／AI 參與方式、利益衝突、免責與訂閱設定。</w:t>
      </w: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6.4 推薦 KPI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4100"/>
        <w:gridCol w:w="37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7"/>
              </w:rPr>
              <w:t>目標</w:t>
            </w:r>
          </w:p>
        </w:tc>
        <w:tc>
          <w:tcPr>
            <w:tcW w:type="dxa" w:w="41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7"/>
              </w:rPr>
              <w:t>KPI</w:t>
            </w:r>
          </w:p>
        </w:tc>
        <w:tc>
          <w:tcPr>
            <w:tcW w:type="dxa" w:w="376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7"/>
              </w:rPr>
              <w:t>避免的假成長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觸達</w:t>
            </w:r>
          </w:p>
        </w:tc>
        <w:tc>
          <w:tcPr>
            <w:tcW w:type="dxa" w:w="41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送達率、推播允許率、有效訂閱率</w:t>
            </w:r>
          </w:p>
        </w:tc>
        <w:tc>
          <w:tcPr>
            <w:tcW w:type="dxa" w:w="3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用過度通知換取短期點擊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完成</w:t>
            </w:r>
          </w:p>
        </w:tc>
        <w:tc>
          <w:tcPr>
            <w:tcW w:type="dxa" w:w="41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L1 完讀率、3 分鐘完成率、音訊完成率</w:t>
            </w:r>
          </w:p>
        </w:tc>
        <w:tc>
          <w:tcPr>
            <w:tcW w:type="dxa" w:w="3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只看開信率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相關</w:t>
            </w:r>
          </w:p>
        </w:tc>
        <w:tc>
          <w:tcPr>
            <w:tcW w:type="dxa" w:w="41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持股卡點擊、隱藏／不相關回饋、個人化使用率</w:t>
            </w:r>
          </w:p>
        </w:tc>
        <w:tc>
          <w:tcPr>
            <w:tcW w:type="dxa" w:w="3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以熱門股取代相關性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信任</w:t>
            </w:r>
          </w:p>
        </w:tc>
        <w:tc>
          <w:tcPr>
            <w:tcW w:type="dxa" w:w="41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來源展開、錯誤回報、退訂原因、風險提醒採納</w:t>
            </w:r>
          </w:p>
        </w:tc>
        <w:tc>
          <w:tcPr>
            <w:tcW w:type="dxa" w:w="3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只量交易轉換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行動</w:t>
            </w:r>
          </w:p>
        </w:tc>
        <w:tc>
          <w:tcPr>
            <w:tcW w:type="dxa" w:w="41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加入自選、閱讀研究、設定提醒、聯繫顧問</w:t>
            </w:r>
          </w:p>
        </w:tc>
        <w:tc>
          <w:tcPr>
            <w:tcW w:type="dxa" w:w="3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把頻繁交易視為唯一成功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風險</w:t>
            </w:r>
          </w:p>
        </w:tc>
        <w:tc>
          <w:tcPr>
            <w:tcW w:type="dxa" w:w="41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預警觸達、槓桿／集中度改善、異常股攔阻</w:t>
            </w:r>
          </w:p>
        </w:tc>
        <w:tc>
          <w:tcPr>
            <w:tcW w:type="dxa" w:w="37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BFC"/>
          </w:tcPr>
          <w:p>
            <w:pPr>
              <w:widowControl/>
              <w:spacing w:after="0" w:line="252" w:lineRule="auto"/>
            </w:pPr>
            <w:r>
              <w:rPr>
                <w:rFonts w:ascii="Noto Sans T Chinese" w:hAnsi="Noto Sans T Chinese" w:eastAsia="Noto Sans T Chinese"/>
                <w:color w:val="263238"/>
                <w:sz w:val="17"/>
              </w:rPr>
              <w:t>以高波動內容拉互動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pageBreakBefore/>
        <w:widowControl/>
      </w:pPr>
      <w:r>
        <w:rPr>
          <w:rFonts w:ascii="Noto Sans T Chinese" w:hAnsi="Noto Sans T Chinese" w:eastAsia="Noto Sans T Chinese"/>
          <w:b/>
          <w:color w:val="2E74B5"/>
          <w:sz w:val="32"/>
        </w:rPr>
        <w:t>7　結論與研究限制</w:t>
      </w: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7.1 結論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台灣券商的核心資產是研究深度；下一階段競爭在於能否把研究變成『與我有關、現在可懂、風險可控』的日常決策支援。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凱基已具備研究、選股、推播、回測與交易閉環，最值得優先改善的是內容入口統一、名稱分層、持股映射與風險／失效條件。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國泰證明個人化盤後日報有高使用需求；富邦、CommSec 證明短音訊可提升完成率；Schwab、Fidelity 證明不同時段應拆成不同產品。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最佳實作是『同一份資料與研究核心，多種長度與載體』，不是讓各通路各自生產一份不一致的內容。</w:t>
      </w: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7.2 研究限制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公開可見不代表免費：部分投顧報告需開戶、登入、訂閱或完成投顧契約。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網站搜尋引擎可能保留舊頁面；本報告以 2026/7/22 可驗證狀態為準，仍應在正式採購／設計前再次確認。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海外『券商』範圍包含交易平台與其媒體／研究品牌；產品法規與台灣不同，交易建議不可直接複製。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『未發現固定公開日報』只表示此次公開檢索未能穩定證實，不等同該券商完全沒有客戶研究。</w:t>
      </w:r>
    </w:p>
    <w:p>
      <w:pPr>
        <w:pStyle w:val="ListBullet"/>
        <w:widowControl/>
        <w:spacing w:after="70" w:line="283" w:lineRule="auto"/>
        <w:ind w:left="540" w:hanging="271"/>
      </w:pPr>
      <w:r>
        <w:rPr>
          <w:rFonts w:ascii="Noto Sans T Chinese" w:hAnsi="Noto Sans T Chinese" w:eastAsia="Noto Sans T Chinese"/>
          <w:color w:val="263238"/>
          <w:sz w:val="20"/>
        </w:rPr>
        <w:t>所有內容僅供競品與產品研究，不構成任何證券推薦、投資邀約或績效保證。</w:t>
      </w:r>
    </w:p>
    <w:p>
      <w:pPr>
        <w:pStyle w:val="Heading1"/>
        <w:keepNext/>
        <w:pageBreakBefore/>
        <w:widowControl/>
      </w:pPr>
      <w:r>
        <w:rPr>
          <w:rFonts w:ascii="Noto Sans T Chinese" w:hAnsi="Noto Sans T Chinese" w:eastAsia="Noto Sans T Chinese"/>
          <w:b/>
          <w:color w:val="2E74B5"/>
          <w:sz w:val="32"/>
        </w:rPr>
        <w:t>參考資料與網址</w:t>
      </w:r>
    </w:p>
    <w:p>
      <w:pPr>
        <w:widowControl/>
        <w:spacing w:after="100"/>
      </w:pPr>
      <w:r>
        <w:rPr>
          <w:rFonts w:ascii="Noto Sans T Chinese" w:hAnsi="Noto Sans T Chinese" w:eastAsia="Noto Sans T Chinese"/>
          <w:color w:val="5F6B73"/>
          <w:sz w:val="18"/>
        </w:rPr>
        <w:t>以下優先列官方產品頁、官方 App 商店、官方研究入口與正式調查；少數補充資料使用新聞報導。網址均可直接點擊。資料存取／查核日：2026/7/22。</w:t>
      </w: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市場名錄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T29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臺灣證券交易所｜證券商名單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11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https://www.twse.com.tw/zh/products/broker/infomation/list.html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T30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中華民國證券商業同業公會｜會員名錄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  <w:spacing w:after="0"/>
            </w:pPr>
            <w:hyperlink r:id="rId12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https://www.twsa.org.tw/I01/I011.html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台灣／凱基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T01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凱基投顧｜研究報告入口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13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https://investment.kgisia.com.tw/portal/Report/Index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T02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凱基隨身 e 策略｜官方教學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  <w:spacing w:after="0"/>
            </w:pPr>
            <w:hyperlink r:id="rId14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https://event.kgi.com.tw/news/event/app/tutorial/index.html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T03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凱基隨身 e 策略｜App Store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15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https://apps.apple.com/us/app/%E5%87%B1%E5%9F%BA%E9%9A%A8%E8%BA%A…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T04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凱基隨身 e 策略｜Google Play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  <w:spacing w:after="0"/>
            </w:pPr>
            <w:hyperlink r:id="rId16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https://play.google.com/store/apps/details?id=tw.com.kgi.ecapp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T05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凱基證券｜股股漲／贏家選股與投資早報說明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17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https://event.kgi.com.tw/news/event/bull/index.html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台灣／國泰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T06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國泰證券｜AI 台股投資日報官方新聞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18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https://www.cathaysec.com.tw/cathaysec/CathaySecNews/cContent.aspx?newsid=15574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T07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經濟日報｜AI 台股投資日報三大核心分析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  <w:spacing w:after="0"/>
            </w:pPr>
            <w:hyperlink r:id="rId19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https://money.udn.com/money/story/5612/9459902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台灣／元大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T08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元大投顧｜投資早報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20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https://www.yuanta-consulting.com.tw/report/view?tag=22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T09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元大投顧｜投資早報樣本 PDF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  <w:spacing w:after="0"/>
            </w:pPr>
            <w:hyperlink r:id="rId21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https://research.yuanta-consulting.com.tw/temp/ProductionYT/87193.pdf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台灣／富邦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T10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富邦證券｜Podcast／三分鐘台股晨報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22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https://www.fubon.com/securities/podcast/index.html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T11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富邦證券｜研究報告文章列表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  <w:spacing w:after="0"/>
            </w:pPr>
            <w:hyperlink r:id="rId23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https://www.fbs.com.tw/ResearchReport/ArticleList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T12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富邦研究｜研究入口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24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https://fubonresearch.fubon.com/Research/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台灣／永豐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T13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永豐金證券｜豐雲學堂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25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https://www.sinotrade.com.tw/richclub/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T14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永豐投顧｜研究入口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  <w:spacing w:after="0"/>
            </w:pPr>
            <w:hyperlink r:id="rId26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https://scm.sinotrade.com.tw/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台灣／統一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T15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統一投顧｜投資早報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27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https://www.pscnet.com.tw/pscnetInvestmentAdvisor/menuMain.do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台灣／第一金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T16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第一金投顧｜晨訊與日報分類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28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https://www.fcmi.com.tw/report/list.do?reportTypeId=5d6e4c4dbd0000004e6a2c2548bdaea2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台灣／兆豐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T17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兆豐投顧｜投資早報與盤前分析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29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https://www.megasia.com.tw/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台灣／華南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T18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華南永昌｜行動 App 市場與研究功能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30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https://www.entrust.com.tw/Marketing/QAradio/daytradingAPP.html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T19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華南永昌｜LINE 官方帳號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  <w:spacing w:after="0"/>
            </w:pPr>
            <w:hyperlink r:id="rId31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https://page.line.me/lxk9164a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T20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華南投顧｜研究入口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32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https://sim.entrust.com.tw/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台灣／中信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T21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中信投顧｜每日盤勢與市場觀點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33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https://www.ctbcsis.com.tw/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台灣／群益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T22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群益證券｜研究與市場資訊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34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https://www.capital.com.tw/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台灣／合庫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T23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合庫投顧｜研究報告列表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35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https://www.tcsconsult.com.tw/ResearchList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台灣／康和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T24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康和證券｜每日晨報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36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https://funds.concords.com.tw/report/reportDay.aspx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台灣／國票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T25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國票證券｜早晚報／海外報告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37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https://www.ibfs.com.tw/Stockoverseas/ReportEvening.aspx?xt=2&amp;xy=4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台灣／宏遠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T26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宏遠證券｜市場研究與國際晨報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38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https://www.honsec.com.tw/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台灣／台新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T27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台新證券｜與元富證券合併公告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39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https://www.tssco.com.tw/TSHOLDINGSMERGE/announcement/index.html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T28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金管會｜核准台新證券合併元富證券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  <w:spacing w:after="0"/>
            </w:pPr>
            <w:hyperlink r:id="rId40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https://www.fsc.gov.tw/ch/home.jsp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海外／Schwab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I01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Charles Schwab｜Newsletters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41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https://www.schwab.com/newsletters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I02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Charles Schwab｜Schwab Network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  <w:spacing w:after="0"/>
            </w:pPr>
            <w:hyperlink r:id="rId42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https://www.schwab.com/schwab-network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I03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Charles Schwab｜Mobile market news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43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https://www.schwab.com/mobile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海外／Robinhood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I04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Robinhood Snacks｜Archive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44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https://snacks.robinhood.com/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I05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Robinhood｜Snacks preferences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  <w:spacing w:after="0"/>
            </w:pPr>
            <w:hyperlink r:id="rId45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https://robinhood.com/us/en/support/articles/managing-your-snacks-preferences/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I06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Sherwood News｜Markets and newsletters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46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https://sherwood.news/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海外／IBKR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I07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Interactive Brokers｜Traders' Insight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47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https://www.interactivebrokers.com/campus/traders-insight/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I08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Interactive Brokers｜Traders' Insight newsletter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  <w:spacing w:after="0"/>
            </w:pPr>
            <w:hyperlink r:id="rId48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https://www.interactivebrokers.com/campus/glossary-terms/traders-insight/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I09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Interactive Brokers｜TWS News Panel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49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https://www.interactivebrokers.com/campus/trading-lessons/tws-news-panel/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海外／E*TRADE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I10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E*TRADE｜Daily Insights News Digest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50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https://us.etrade.com/knowledge/library/perspectives/daily-insights/news-digest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海外／Fidelity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I11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Fidelity｜Trading Post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51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https://www.fidelity.com/learning-center/trading-post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I12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Fidelity｜Weekly Market Update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  <w:spacing w:after="0"/>
            </w:pPr>
            <w:hyperlink r:id="rId52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https://www.fidelity.com/learning-center/trading-investing/weekly-market-update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I13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Fidelity｜Viewpoints newsletter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53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https://www.fidelity.com/learning-center/viewpoints-newsletter-subscription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海外／Merrill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I14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Merrill Edge｜Stock Market Today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54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https://www.merrilledge.com/stock-market-today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海外／moomoo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I15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moomoo｜Morning Brief 範例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55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https://www.moomoo.com/news/post/72358408/morning-brief-by-xiao-k…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海外／Tiger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I16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Tiger Brokers｜Asia Morning Call 範例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56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https://www.itiger.com/news/2533559461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I17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Tiger Brokers｜App updates／TigerAI brief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  <w:spacing w:after="0"/>
            </w:pPr>
            <w:hyperlink r:id="rId57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https://www.itiger.com/about/app/update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海外／Phillip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I18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Phillip Securities｜Daily Morning Note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58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https://www.poems.com.sg/morning-note/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I19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Phillip CFD｜Morning Note subscription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  <w:spacing w:after="0"/>
            </w:pPr>
            <w:hyperlink r:id="rId59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https://www.phillipcfd.com/daily-morning-note/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I20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Phillip Securities｜Morning Note sample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60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https://www.poems.com.sg/reports/daily-morning-note-19-march-2025/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海外／IG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I21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IG｜Morning Call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61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https://www.ig.com/za/morning-call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海外／Saxo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I22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Saxo｜Insights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62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https://www.home.saxo/insights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I23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Saxo｜Macro research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  <w:spacing w:after="0"/>
            </w:pPr>
            <w:hyperlink r:id="rId63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https://www.home.saxo/insights/news-and-research/macro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I24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Saxo｜Market Call Podcast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64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https://www.home.saxo/insights/news-and-research/podcast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海外／CMC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I25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CMC Markets｜Opto market analysis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65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https://www.cmcmarkets.com/en-gb/opto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海外／HL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I26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Hargreaves Lansdown｜Stock market news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66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https://www.hl.co.uk/shares/stock-market-news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I27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Hargreaves Lansdown｜Shares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  <w:spacing w:after="0"/>
            </w:pPr>
            <w:hyperlink r:id="rId67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https://www.hl.co.uk/shares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I28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Hargreaves Lansdown｜Research updates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68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https://www.hl.co.uk/shares/register-for-research-updates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海外／AJ Bell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I29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AJ Bell｜Shares &amp; stockmarket news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69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https://www.ajbell.co.uk/news/shares-stockmarket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I30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AJ Bell｜Latest news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  <w:spacing w:after="0"/>
            </w:pPr>
            <w:hyperlink r:id="rId70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https://www.ajbell.co.uk/news/latest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海外／CommSec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I31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CommSec｜Market Update podcast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71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https://www.commsec.com.au/market-news/podcast.html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I32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Apple Podcasts｜CommSec Market Update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  <w:spacing w:after="0"/>
            </w:pPr>
            <w:hyperlink r:id="rId72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https://podcasts.apple.com/gb/podcast/commsec-market-update/id1024068365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I33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CommSec｜App market insights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73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https://www.commsec.com.au/features/commsec-app.html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海外／Anue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I34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Anue Securities HK｜Daily Report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74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https://www.anuesec.com/zh/Page/daily-report/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2"/>
        <w:keepNext/>
        <w:pageBreakBefore w:val="0"/>
        <w:widowControl/>
      </w:pPr>
      <w:r>
        <w:rPr>
          <w:rFonts w:ascii="Noto Sans T Chinese" w:hAnsi="Noto Sans T Chinese" w:eastAsia="Noto Sans T Chinese"/>
          <w:b/>
          <w:color w:val="2E74B5"/>
          <w:sz w:val="26"/>
        </w:rPr>
        <w:t>投資人需求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600"/>
        <w:gridCol w:w="5910"/>
      </w:tblGrid>
      <w:tr>
        <w:trPr>
          <w:tblHeader w:val="true"/>
        </w:trPr>
        <w:tc>
          <w:tcPr>
            <w:tcW w:type="dxa" w:w="85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編號</w:t>
            </w:r>
          </w:p>
        </w:tc>
        <w:tc>
          <w:tcPr>
            <w:tcW w:type="dxa" w:w="260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來源／用途</w:t>
            </w:r>
          </w:p>
        </w:tc>
        <w:tc>
          <w:tcPr>
            <w:tcW w:type="dxa" w:w="591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123A5A"/>
                <w:sz w:val="16"/>
              </w:rPr>
              <w:t>網址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D01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投信投顧公會｜2025 年度基金投資行為與偏好調查（2026/4/30）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75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https://www.sitca.org.tw/CWEB/1150430%E6%8A%95%E4%BF%A1%E6%8A%95%E9…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D02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投信投顧公會｜2024 年度調查（2025/4）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  <w:spacing w:after="0"/>
            </w:pPr>
            <w:hyperlink r:id="rId76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https://www.sitca.org.tw/MemberK0000/CWeb/1140423%E6%8A%95%E4%BF%A1…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D03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臺灣證券交易所｜投資人統計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77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https://www.twse.com.tw/zh/trading/statistics/index07.html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D04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臺灣證券交易所｜ETF 市場資產規模文章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  <w:spacing w:after="0"/>
            </w:pPr>
            <w:hyperlink r:id="rId78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https://www.twse.com.tw/zh/ETFortune/invest/8a8216d69d2e8217019db9cfa1800276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D05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Fidelity Taiwan｜2025 波動市況下的台灣投資人調查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widowControl/>
              <w:spacing w:after="0"/>
            </w:pPr>
            <w:hyperlink r:id="rId79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https://www.fidelity.com.tw/insights-learning/market-insights/five-key…</w:t>
              </w:r>
            </w:hyperlink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b/>
                <w:color w:val="2E74B5"/>
                <w:sz w:val="16"/>
              </w:rPr>
              <w:t>D06</w:t>
            </w:r>
          </w:p>
        </w:tc>
        <w:tc>
          <w:tcPr>
            <w:tcW w:type="dxa" w:w="260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</w:pPr>
            <w:r>
              <w:rPr>
                <w:rFonts w:ascii="Noto Sans T Chinese" w:hAnsi="Noto Sans T Chinese" w:eastAsia="Noto Sans T Chinese"/>
                <w:color w:val="263238"/>
                <w:sz w:val="16"/>
              </w:rPr>
              <w:t>玉山證券｜台灣投資人世代與數位投資觀察</w:t>
            </w:r>
          </w:p>
        </w:tc>
        <w:tc>
          <w:tcPr>
            <w:tcW w:type="dxa" w:w="5910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  <w:vAlign w:val="top"/>
          </w:tcPr>
          <w:p>
            <w:pPr>
              <w:widowControl/>
              <w:spacing w:after="0"/>
            </w:pPr>
            <w:hyperlink r:id="rId80">
              <w:r>
                <w:rPr>
                  <w:rFonts w:ascii="Noto Sans T Chinese" w:hAnsi="Noto Sans T Chinese" w:eastAsia="Noto Sans T Chinese"/>
                  <w:color w:val="2E74B5"/>
                  <w:u w:val="single"/>
                  <w:sz w:val="15"/>
                </w:rPr>
                <w:t>https://www.esunsec.com.tw/article/post/282</w:t>
              </w:r>
            </w:hyperlink>
          </w:p>
        </w:tc>
      </w:tr>
    </w:tbl>
    <w:p>
      <w:pPr>
        <w:widowControl/>
        <w:spacing w:after="40"/>
      </w:pPr>
    </w:p>
    <w:p>
      <w:pPr>
        <w:pStyle w:val="Heading1"/>
        <w:keepNext/>
        <w:pageBreakBefore/>
        <w:widowControl/>
      </w:pPr>
      <w:r>
        <w:rPr>
          <w:rFonts w:ascii="Noto Sans T Chinese" w:hAnsi="Noto Sans T Chinese" w:eastAsia="Noto Sans T Chinese"/>
          <w:b/>
          <w:color w:val="2E74B5"/>
          <w:sz w:val="32"/>
        </w:rPr>
        <w:t>附錄：快速採用清單</w:t>
      </w:r>
    </w:p>
    <w:p>
      <w:pPr>
        <w:widowControl/>
        <w:spacing w:after="100"/>
      </w:pPr>
      <w:r>
        <w:rPr>
          <w:rFonts w:ascii="Noto Sans T Chinese" w:hAnsi="Noto Sans T Chinese" w:eastAsia="Noto Sans T Chinese"/>
          <w:color w:val="263238"/>
          <w:sz w:val="21"/>
        </w:rPr>
        <w:t>若要把本研究直接轉成券商日報需求規格，建議先完成以下十項：</w:t>
      </w:r>
    </w:p>
    <w:p>
      <w:pPr>
        <w:spacing w:after="50" w:line="269" w:lineRule="auto"/>
        <w:widowControl/>
        <w:numPr>
          <w:ilvl w:val="0"/>
          <w:numId w:val="12"/>
        </w:numPr>
      </w:pPr>
      <w:r>
        <w:rPr>
          <w:rFonts w:ascii="Noto Sans T Chinese" w:hAnsi="Noto Sans T Chinese" w:eastAsia="Noto Sans T Chinese"/>
          <w:color w:val="263238"/>
          <w:sz w:val="19"/>
        </w:rPr>
        <w:t>定義主報唯一名稱、資料截止時間與發送時點。</w:t>
      </w:r>
    </w:p>
    <w:p>
      <w:pPr>
        <w:spacing w:after="50" w:line="269" w:lineRule="auto"/>
        <w:widowControl/>
        <w:numPr>
          <w:ilvl w:val="0"/>
          <w:numId w:val="12"/>
        </w:numPr>
      </w:pPr>
      <w:r>
        <w:rPr>
          <w:rFonts w:ascii="Noto Sans T Chinese" w:hAnsi="Noto Sans T Chinese" w:eastAsia="Noto Sans T Chinese"/>
          <w:color w:val="263238"/>
          <w:sz w:val="19"/>
        </w:rPr>
        <w:t>建立 30 秒／3 分鐘／完整研究三層內容。</w:t>
      </w:r>
    </w:p>
    <w:p>
      <w:pPr>
        <w:spacing w:after="50" w:line="269" w:lineRule="auto"/>
        <w:widowControl/>
        <w:numPr>
          <w:ilvl w:val="0"/>
          <w:numId w:val="12"/>
        </w:numPr>
      </w:pPr>
      <w:r>
        <w:rPr>
          <w:rFonts w:ascii="Noto Sans T Chinese" w:hAnsi="Noto Sans T Chinese" w:eastAsia="Noto Sans T Chinese"/>
          <w:color w:val="263238"/>
          <w:sz w:val="19"/>
        </w:rPr>
        <w:t>將隔夜事件映射到台股產業、權值股與個人持股。</w:t>
      </w:r>
    </w:p>
    <w:p>
      <w:pPr>
        <w:spacing w:after="50" w:line="269" w:lineRule="auto"/>
        <w:widowControl/>
        <w:numPr>
          <w:ilvl w:val="0"/>
          <w:numId w:val="12"/>
        </w:numPr>
      </w:pPr>
      <w:r>
        <w:rPr>
          <w:rFonts w:ascii="Noto Sans T Chinese" w:hAnsi="Noto Sans T Chinese" w:eastAsia="Noto Sans T Chinese"/>
          <w:color w:val="263238"/>
          <w:sz w:val="19"/>
        </w:rPr>
        <w:t>把今日行事曆與風險事件放在第一屏，不埋在文末。</w:t>
      </w:r>
    </w:p>
    <w:p>
      <w:pPr>
        <w:spacing w:after="50" w:line="269" w:lineRule="auto"/>
        <w:widowControl/>
        <w:numPr>
          <w:ilvl w:val="0"/>
          <w:numId w:val="12"/>
        </w:numPr>
      </w:pPr>
      <w:r>
        <w:rPr>
          <w:rFonts w:ascii="Noto Sans T Chinese" w:hAnsi="Noto Sans T Chinese" w:eastAsia="Noto Sans T Chinese"/>
          <w:color w:val="263238"/>
          <w:sz w:val="19"/>
        </w:rPr>
        <w:t>加入持股／自選股個人化，讓使用者可調整市場、產業與頻率。</w:t>
      </w:r>
    </w:p>
    <w:p>
      <w:pPr>
        <w:spacing w:after="50" w:line="269" w:lineRule="auto"/>
        <w:widowControl/>
        <w:numPr>
          <w:ilvl w:val="0"/>
          <w:numId w:val="12"/>
        </w:numPr>
      </w:pPr>
      <w:r>
        <w:rPr>
          <w:rFonts w:ascii="Noto Sans T Chinese" w:hAnsi="Noto Sans T Chinese" w:eastAsia="Noto Sans T Chinese"/>
          <w:color w:val="263238"/>
          <w:sz w:val="19"/>
        </w:rPr>
        <w:t>所有 AI 摘要保留原始來源、時間戳、模型／人工角色與回報錯誤入口。</w:t>
      </w:r>
    </w:p>
    <w:p>
      <w:pPr>
        <w:spacing w:after="50" w:line="269" w:lineRule="auto"/>
        <w:widowControl/>
        <w:numPr>
          <w:ilvl w:val="0"/>
          <w:numId w:val="12"/>
        </w:numPr>
      </w:pPr>
      <w:r>
        <w:rPr>
          <w:rFonts w:ascii="Noto Sans T Chinese" w:hAnsi="Noto Sans T Chinese" w:eastAsia="Noto Sans T Chinese"/>
          <w:color w:val="263238"/>
          <w:sz w:val="19"/>
        </w:rPr>
        <w:t>策略內容寫出基本／樂觀／保守情境與失效條件。</w:t>
      </w:r>
    </w:p>
    <w:p>
      <w:pPr>
        <w:spacing w:after="50" w:line="269" w:lineRule="auto"/>
        <w:widowControl/>
        <w:numPr>
          <w:ilvl w:val="0"/>
          <w:numId w:val="12"/>
        </w:numPr>
      </w:pPr>
      <w:r>
        <w:rPr>
          <w:rFonts w:ascii="Noto Sans T Chinese" w:hAnsi="Noto Sans T Chinese" w:eastAsia="Noto Sans T Chinese"/>
          <w:color w:val="263238"/>
          <w:sz w:val="19"/>
        </w:rPr>
        <w:t>ETF 補足折溢價、流動性、成分、配息與追蹤差。</w:t>
      </w:r>
    </w:p>
    <w:p>
      <w:pPr>
        <w:spacing w:after="50" w:line="269" w:lineRule="auto"/>
        <w:widowControl/>
        <w:numPr>
          <w:ilvl w:val="0"/>
          <w:numId w:val="12"/>
        </w:numPr>
      </w:pPr>
      <w:r>
        <w:rPr>
          <w:rFonts w:ascii="Noto Sans T Chinese" w:hAnsi="Noto Sans T Chinese" w:eastAsia="Noto Sans T Chinese"/>
          <w:color w:val="263238"/>
          <w:sz w:val="19"/>
        </w:rPr>
        <w:t>音訊、Email、App 與 PDF 共用同一研究摘要，避免結論不一致。</w:t>
      </w:r>
    </w:p>
    <w:p>
      <w:pPr>
        <w:spacing w:after="50" w:line="269" w:lineRule="auto"/>
        <w:widowControl/>
        <w:numPr>
          <w:ilvl w:val="0"/>
          <w:numId w:val="12"/>
        </w:numPr>
      </w:pPr>
      <w:r>
        <w:rPr>
          <w:rFonts w:ascii="Noto Sans T Chinese" w:hAnsi="Noto Sans T Chinese" w:eastAsia="Noto Sans T Chinese"/>
          <w:color w:val="263238"/>
          <w:sz w:val="19"/>
        </w:rPr>
        <w:t>KPI 同時衡量完成率、相關性與風險改善，不只量開信與交易。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"/>
        <w:gridCol w:w="9180"/>
      </w:tblGrid>
      <w:tr>
        <w:tc>
          <w:tcPr>
            <w:tcW w:type="dxa" w:w="180"/>
            <w:shd w:fill="2E7D5B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</w:pPr>
          </w:p>
        </w:tc>
        <w:tc>
          <w:tcPr>
            <w:tcW w:type="dxa" w:w="9180"/>
            <w:shd w:fill="EEF7F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40"/>
            </w:pPr>
            <w:r>
              <w:rPr>
                <w:rFonts w:ascii="Noto Sans T Chinese" w:hAnsi="Noto Sans T Chinese" w:eastAsia="Noto Sans T Chinese"/>
                <w:b/>
                <w:color w:val="2E7D5B"/>
                <w:sz w:val="21"/>
              </w:rPr>
              <w:t>完成標準</w:t>
              <w:br/>
            </w:r>
            <w:r>
              <w:rPr>
                <w:rFonts w:ascii="Noto Sans T Chinese" w:hAnsi="Noto Sans T Chinese" w:eastAsia="Noto Sans T Chinese"/>
                <w:color w:val="263238"/>
                <w:sz w:val="19"/>
              </w:rPr>
              <w:t>使用者在 30 秒內知道今天發生什麼、與自己有何關係、最需要防什麼；在 3 分鐘內知道為什麼、要看哪些證據與何時重新判斷；需要時再進入完整研究。</w:t>
            </w:r>
          </w:p>
        </w:tc>
      </w:tr>
    </w:tbl>
    <w:p>
      <w:pPr>
        <w:widowControl/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81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 Chinese" w:hAnsi="Noto Sans T Chinese" w:eastAsia="Noto Sans T Chinese"/>
        <w:color w:val="5F6B73"/>
        <w:sz w:val="17"/>
      </w:rPr>
      <w:t xml:space="preserve">第 </w:t>
      <w:fldChar w:fldCharType="begin"/>
      <w:instrText xml:space="preserve">PAGE</w:instrText>
      <w:fldChar w:fldCharType="separate"/>
      <w:t>1</w:t>
      <w:fldChar w:fldCharType="end"/>
    </w:r>
    <w:r>
      <w:rPr>
        <w:rFonts w:ascii="Noto Sans T Chinese" w:hAnsi="Noto Sans T Chinese" w:eastAsia="Noto Sans T Chinese"/>
        <w:color w:val="5F6B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4" w:color="5B9BD5"/>
      </w:pBdr>
    </w:pPr>
    <w:r>
      <w:rPr>
        <w:rFonts w:ascii="Noto Sans T Chinese" w:hAnsi="Noto Sans T Chinese" w:eastAsia="Noto Sans T Chinese"/>
        <w:b/>
        <w:color w:val="2E74B5"/>
        <w:sz w:val="16"/>
      </w:rPr>
      <w:t>券商股市日報／電子報／EDM 競品研究　｜　2026.07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76"/>
        </w:tabs>
        <w:ind w:left="576" w:hanging="30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76"/>
        </w:tabs>
        <w:ind w:left="576" w:hanging="30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76"/>
        </w:tabs>
        <w:ind w:left="576" w:hanging="30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Noto Sans T Chinese" w:hAnsi="Noto Sans T Chinese" w:eastAsia="Noto Sans T Chinese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T Chinese" w:hAnsi="Noto Sans T Chinese" w:eastAsia="Noto Sans T Chinese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T Chinese" w:hAnsi="Noto Sans T Chinese" w:eastAsia="Noto Sans T Chinese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T Chinese" w:hAnsi="Noto Sans T Chinese" w:eastAsia="Noto Sans T Chinese"/>
      <w:b/>
      <w:bCs/>
      <w:color w:val="123A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T Chinese" w:hAnsi="Noto Sans T Chinese" w:eastAsia="Noto Sans T Chinese"/>
      <w:b/>
      <w:color w:val="123A5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T Chinese" w:hAnsi="Noto Sans T Chinese" w:eastAsia="Noto Sans T Chinese"/>
      <w:b w:val="0"/>
      <w:i/>
      <w:iCs/>
      <w:color w:val="1F7A8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T Chinese" w:hAnsi="Noto Sans T Chinese" w:eastAsia="Noto Sans T Chines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T Chinese" w:hAnsi="Noto Sans T Chinese" w:eastAsia="Noto Sans T Chinese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T Chinese" w:hAnsi="Noto Sans T Chinese" w:eastAsia="Noto Sans T Chines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twse.com.tw/zh/products/broker/infomation/list.html" TargetMode="External"/><Relationship Id="rId12" Type="http://schemas.openxmlformats.org/officeDocument/2006/relationships/hyperlink" Target="https://www.twsa.org.tw/I01/I011.html" TargetMode="External"/><Relationship Id="rId13" Type="http://schemas.openxmlformats.org/officeDocument/2006/relationships/hyperlink" Target="https://investment.kgisia.com.tw/portal/Report/Index" TargetMode="External"/><Relationship Id="rId14" Type="http://schemas.openxmlformats.org/officeDocument/2006/relationships/hyperlink" Target="https://event.kgi.com.tw/news/event/app/tutorial/index.html" TargetMode="External"/><Relationship Id="rId15" Type="http://schemas.openxmlformats.org/officeDocument/2006/relationships/hyperlink" Target="https://apps.apple.com/us/app/%E5%87%B1%E5%9F%BA%E9%9A%A8%E8%BA%ABe%E7%AD%96%E7%95%A5/id1473914290" TargetMode="External"/><Relationship Id="rId16" Type="http://schemas.openxmlformats.org/officeDocument/2006/relationships/hyperlink" Target="https://play.google.com/store/apps/details?id=tw.com.kgi.ecapp" TargetMode="External"/><Relationship Id="rId17" Type="http://schemas.openxmlformats.org/officeDocument/2006/relationships/hyperlink" Target="https://event.kgi.com.tw/news/event/bull/index.html" TargetMode="External"/><Relationship Id="rId18" Type="http://schemas.openxmlformats.org/officeDocument/2006/relationships/hyperlink" Target="https://www.cathaysec.com.tw/cathaysec/CathaySecNews/cContent.aspx?newsid=15574" TargetMode="External"/><Relationship Id="rId19" Type="http://schemas.openxmlformats.org/officeDocument/2006/relationships/hyperlink" Target="https://money.udn.com/money/story/5612/9459902" TargetMode="External"/><Relationship Id="rId20" Type="http://schemas.openxmlformats.org/officeDocument/2006/relationships/hyperlink" Target="https://www.yuanta-consulting.com.tw/report/view?tag=22" TargetMode="External"/><Relationship Id="rId21" Type="http://schemas.openxmlformats.org/officeDocument/2006/relationships/hyperlink" Target="https://research.yuanta-consulting.com.tw/temp/ProductionYT/87193.pdf" TargetMode="External"/><Relationship Id="rId22" Type="http://schemas.openxmlformats.org/officeDocument/2006/relationships/hyperlink" Target="https://www.fubon.com/securities/podcast/index.html" TargetMode="External"/><Relationship Id="rId23" Type="http://schemas.openxmlformats.org/officeDocument/2006/relationships/hyperlink" Target="https://www.fbs.com.tw/ResearchReport/ArticleList" TargetMode="External"/><Relationship Id="rId24" Type="http://schemas.openxmlformats.org/officeDocument/2006/relationships/hyperlink" Target="https://fubonresearch.fubon.com/Research/" TargetMode="External"/><Relationship Id="rId25" Type="http://schemas.openxmlformats.org/officeDocument/2006/relationships/hyperlink" Target="https://www.sinotrade.com.tw/richclub/" TargetMode="External"/><Relationship Id="rId26" Type="http://schemas.openxmlformats.org/officeDocument/2006/relationships/hyperlink" Target="https://scm.sinotrade.com.tw/" TargetMode="External"/><Relationship Id="rId27" Type="http://schemas.openxmlformats.org/officeDocument/2006/relationships/hyperlink" Target="https://www.pscnet.com.tw/pscnetInvestmentAdvisor/menuMain.do?main_id=39a45d4c1c000000e1923552a1b93e0b" TargetMode="External"/><Relationship Id="rId28" Type="http://schemas.openxmlformats.org/officeDocument/2006/relationships/hyperlink" Target="https://www.fcmi.com.tw/report/list.do?reportTypeId=5d6e4c4dbd0000004e6a2c2548bdaea2" TargetMode="External"/><Relationship Id="rId29" Type="http://schemas.openxmlformats.org/officeDocument/2006/relationships/hyperlink" Target="https://www.megasia.com.tw/" TargetMode="External"/><Relationship Id="rId30" Type="http://schemas.openxmlformats.org/officeDocument/2006/relationships/hyperlink" Target="https://www.entrust.com.tw/Marketing/QAradio/daytradingAPP.html" TargetMode="External"/><Relationship Id="rId31" Type="http://schemas.openxmlformats.org/officeDocument/2006/relationships/hyperlink" Target="https://page.line.me/lxk9164a" TargetMode="External"/><Relationship Id="rId32" Type="http://schemas.openxmlformats.org/officeDocument/2006/relationships/hyperlink" Target="https://sim.entrust.com.tw/" TargetMode="External"/><Relationship Id="rId33" Type="http://schemas.openxmlformats.org/officeDocument/2006/relationships/hyperlink" Target="https://www.ctbcsis.com.tw/" TargetMode="External"/><Relationship Id="rId34" Type="http://schemas.openxmlformats.org/officeDocument/2006/relationships/hyperlink" Target="https://www.capital.com.tw/" TargetMode="External"/><Relationship Id="rId35" Type="http://schemas.openxmlformats.org/officeDocument/2006/relationships/hyperlink" Target="https://www.tcsconsult.com.tw/ResearchList" TargetMode="External"/><Relationship Id="rId36" Type="http://schemas.openxmlformats.org/officeDocument/2006/relationships/hyperlink" Target="https://funds.concords.com.tw/report/reportDay.aspx" TargetMode="External"/><Relationship Id="rId37" Type="http://schemas.openxmlformats.org/officeDocument/2006/relationships/hyperlink" Target="https://www.ibfs.com.tw/Stockoverseas/ReportEvening.aspx?xt=2&amp;xy=4" TargetMode="External"/><Relationship Id="rId38" Type="http://schemas.openxmlformats.org/officeDocument/2006/relationships/hyperlink" Target="https://www.honsec.com.tw/" TargetMode="External"/><Relationship Id="rId39" Type="http://schemas.openxmlformats.org/officeDocument/2006/relationships/hyperlink" Target="https://www.tssco.com.tw/TSHOLDINGSMERGE/announcement/index.html" TargetMode="External"/><Relationship Id="rId40" Type="http://schemas.openxmlformats.org/officeDocument/2006/relationships/hyperlink" Target="https://www.fsc.gov.tw/ch/home.jsp?aplistdn=ou%3Dnews%2Cou%3Dmultisite%2Cou%3Dchinese%2Cou%3Dap_root%2Co%3Dfsc%2Cc%3Dtw&amp;dataserno=202601130002&amp;dtable=News&amp;id=96&amp;mcustomize=news_view.jsp&amp;parentpath=0%2C2" TargetMode="External"/><Relationship Id="rId41" Type="http://schemas.openxmlformats.org/officeDocument/2006/relationships/hyperlink" Target="https://www.schwab.com/newsletters" TargetMode="External"/><Relationship Id="rId42" Type="http://schemas.openxmlformats.org/officeDocument/2006/relationships/hyperlink" Target="https://www.schwab.com/schwab-network" TargetMode="External"/><Relationship Id="rId43" Type="http://schemas.openxmlformats.org/officeDocument/2006/relationships/hyperlink" Target="https://www.schwab.com/mobile" TargetMode="External"/><Relationship Id="rId44" Type="http://schemas.openxmlformats.org/officeDocument/2006/relationships/hyperlink" Target="https://snacks.robinhood.com/" TargetMode="External"/><Relationship Id="rId45" Type="http://schemas.openxmlformats.org/officeDocument/2006/relationships/hyperlink" Target="https://robinhood.com/us/en/support/articles/managing-your-snacks-preferences/" TargetMode="External"/><Relationship Id="rId46" Type="http://schemas.openxmlformats.org/officeDocument/2006/relationships/hyperlink" Target="https://sherwood.news/" TargetMode="External"/><Relationship Id="rId47" Type="http://schemas.openxmlformats.org/officeDocument/2006/relationships/hyperlink" Target="https://www.interactivebrokers.com/campus/traders-insight/" TargetMode="External"/><Relationship Id="rId48" Type="http://schemas.openxmlformats.org/officeDocument/2006/relationships/hyperlink" Target="https://www.interactivebrokers.com/campus/glossary-terms/traders-insight/" TargetMode="External"/><Relationship Id="rId49" Type="http://schemas.openxmlformats.org/officeDocument/2006/relationships/hyperlink" Target="https://www.interactivebrokers.com/campus/trading-lessons/tws-news-panel/" TargetMode="External"/><Relationship Id="rId50" Type="http://schemas.openxmlformats.org/officeDocument/2006/relationships/hyperlink" Target="https://us.etrade.com/knowledge/library/perspectives/daily-insights/news-digest" TargetMode="External"/><Relationship Id="rId51" Type="http://schemas.openxmlformats.org/officeDocument/2006/relationships/hyperlink" Target="https://www.fidelity.com/learning-center/trading-post" TargetMode="External"/><Relationship Id="rId52" Type="http://schemas.openxmlformats.org/officeDocument/2006/relationships/hyperlink" Target="https://www.fidelity.com/learning-center/trading-investing/weekly-market-update" TargetMode="External"/><Relationship Id="rId53" Type="http://schemas.openxmlformats.org/officeDocument/2006/relationships/hyperlink" Target="https://www.fidelity.com/learning-center/viewpoints-newsletter-subscription" TargetMode="External"/><Relationship Id="rId54" Type="http://schemas.openxmlformats.org/officeDocument/2006/relationships/hyperlink" Target="https://www.merrilledge.com/stock-market-today" TargetMode="External"/><Relationship Id="rId55" Type="http://schemas.openxmlformats.org/officeDocument/2006/relationships/hyperlink" Target="https://www.moomoo.com/news/post/72358408/morning-brief-by-xiao-k-meta-plans-to-sell-computing" TargetMode="External"/><Relationship Id="rId56" Type="http://schemas.openxmlformats.org/officeDocument/2006/relationships/hyperlink" Target="https://www.itiger.com/news/2533559461" TargetMode="External"/><Relationship Id="rId57" Type="http://schemas.openxmlformats.org/officeDocument/2006/relationships/hyperlink" Target="https://www.itiger.com/about/app/update" TargetMode="External"/><Relationship Id="rId58" Type="http://schemas.openxmlformats.org/officeDocument/2006/relationships/hyperlink" Target="https://www.poems.com.sg/morning-note/" TargetMode="External"/><Relationship Id="rId59" Type="http://schemas.openxmlformats.org/officeDocument/2006/relationships/hyperlink" Target="https://www.phillipcfd.com/daily-morning-note/" TargetMode="External"/><Relationship Id="rId60" Type="http://schemas.openxmlformats.org/officeDocument/2006/relationships/hyperlink" Target="https://www.poems.com.sg/reports/daily-morning-note-19-march-2025/" TargetMode="External"/><Relationship Id="rId61" Type="http://schemas.openxmlformats.org/officeDocument/2006/relationships/hyperlink" Target="https://www.ig.com/za/morning-call" TargetMode="External"/><Relationship Id="rId62" Type="http://schemas.openxmlformats.org/officeDocument/2006/relationships/hyperlink" Target="https://www.home.saxo/insights" TargetMode="External"/><Relationship Id="rId63" Type="http://schemas.openxmlformats.org/officeDocument/2006/relationships/hyperlink" Target="https://www.home.saxo/insights/news-and-research/macro" TargetMode="External"/><Relationship Id="rId64" Type="http://schemas.openxmlformats.org/officeDocument/2006/relationships/hyperlink" Target="https://www.home.saxo/insights/news-and-research/podcast" TargetMode="External"/><Relationship Id="rId65" Type="http://schemas.openxmlformats.org/officeDocument/2006/relationships/hyperlink" Target="https://www.cmcmarkets.com/en-gb/opto" TargetMode="External"/><Relationship Id="rId66" Type="http://schemas.openxmlformats.org/officeDocument/2006/relationships/hyperlink" Target="https://www.hl.co.uk/shares/stock-market-news" TargetMode="External"/><Relationship Id="rId67" Type="http://schemas.openxmlformats.org/officeDocument/2006/relationships/hyperlink" Target="https://www.hl.co.uk/shares" TargetMode="External"/><Relationship Id="rId68" Type="http://schemas.openxmlformats.org/officeDocument/2006/relationships/hyperlink" Target="https://www.hl.co.uk/shares/register-for-research-updates" TargetMode="External"/><Relationship Id="rId69" Type="http://schemas.openxmlformats.org/officeDocument/2006/relationships/hyperlink" Target="https://www.ajbell.co.uk/news/shares-stockmarket" TargetMode="External"/><Relationship Id="rId70" Type="http://schemas.openxmlformats.org/officeDocument/2006/relationships/hyperlink" Target="https://www.ajbell.co.uk/news/latest" TargetMode="External"/><Relationship Id="rId71" Type="http://schemas.openxmlformats.org/officeDocument/2006/relationships/hyperlink" Target="https://www.commsec.com.au/market-news/podcast.html" TargetMode="External"/><Relationship Id="rId72" Type="http://schemas.openxmlformats.org/officeDocument/2006/relationships/hyperlink" Target="https://podcasts.apple.com/gb/podcast/commsec-market-update/id1024068365" TargetMode="External"/><Relationship Id="rId73" Type="http://schemas.openxmlformats.org/officeDocument/2006/relationships/hyperlink" Target="https://www.commsec.com.au/features/commsec-app.html" TargetMode="External"/><Relationship Id="rId74" Type="http://schemas.openxmlformats.org/officeDocument/2006/relationships/hyperlink" Target="https://www.anuesec.com/zh/Page/daily-report/" TargetMode="External"/><Relationship Id="rId75" Type="http://schemas.openxmlformats.org/officeDocument/2006/relationships/hyperlink" Target="https://www.sitca.org.tw/CWEB/1150430%E6%8A%95%E4%BF%A1%E6%8A%95%E9%A1%A7%E5%85%AC%E6%9C%83%E6%96%B0%E8%81%9E%E7%A8%BF.pdf" TargetMode="External"/><Relationship Id="rId76" Type="http://schemas.openxmlformats.org/officeDocument/2006/relationships/hyperlink" Target="https://www.sitca.org.tw/MemberK0000/CWeb/1140423%E6%8A%95%E4%BF%A1%E6%8A%95%E9%A1%A7%E5%85%AC%E6%9C%83%E6%96%B0%E8%81%9E%E7%A8%BF.pdf" TargetMode="External"/><Relationship Id="rId77" Type="http://schemas.openxmlformats.org/officeDocument/2006/relationships/hyperlink" Target="https://www.twse.com.tw/zh/trading/statistics/index07.html" TargetMode="External"/><Relationship Id="rId78" Type="http://schemas.openxmlformats.org/officeDocument/2006/relationships/hyperlink" Target="https://www.twse.com.tw/zh/ETFortune/invest/8a8216d69d2e8217019db9cfa1800276" TargetMode="External"/><Relationship Id="rId79" Type="http://schemas.openxmlformats.org/officeDocument/2006/relationships/hyperlink" Target="https://www.fidelity.com.tw/insights-learning/market-insights/five-key-findings-about-tw-investors-amid-2025-volatility/" TargetMode="External"/><Relationship Id="rId80" Type="http://schemas.openxmlformats.org/officeDocument/2006/relationships/hyperlink" Target="https://www.esunsec.com.tw/article/post/2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台灣與海外券商日報、電子報、EDM 與每日文章競品比較</dc:title>
  <dc:subject>公開券商投資內容盤點與凱基隨身 e 策略台股日報分析</dc:subject>
  <dc:creator>OpenAI</dc:creator>
  <cp:keywords>券商日報, 電子報, EDM, 台股, 凱基隨身e策略, 競品分析</cp:keywords>
  <dc:description>資料蒐集截止 2026-07-22；僅供產品與內容研究。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