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03366"/>
          <w:sz w:val="44"/>
        </w:rPr>
        <w:t>Research Report: 36-Hour Building Energy Demand Forecasting Prototype</w:t>
      </w:r>
    </w:p>
    <w:p>
      <w:pPr>
        <w:spacing w:after="360"/>
      </w:pPr>
      <w:r>
        <w:rPr>
          <w:i/>
          <w:color w:val="005A9C"/>
          <w:sz w:val="26"/>
        </w:rPr>
        <w:t>Comparative Analysis of HistGradientBoosting vs. Ridge Regression Baseline</w:t>
      </w:r>
    </w:p>
    <w:p>
      <w:pPr>
        <w:spacing w:after="400"/>
      </w:pPr>
      <w:r>
        <w:rPr>
          <w:color w:val="555555"/>
          <w:sz w:val="19"/>
        </w:rPr>
        <w:t>Prepared for: Envitron Group | Class: IT2B | Author: Cristiano</w:t>
        <w:br/>
        <w:t>Date: October 2026</w:t>
      </w:r>
    </w:p>
    <w:p>
      <w:pPr>
        <w:spacing w:after="360"/>
        <w:pBdr>
          <w:bottom w:val="single" w:sz="12" w:space="1" w:color="003366"/>
        </w:pBdr>
      </w:pPr>
    </w:p>
    <w:p>
      <w:pPr>
        <w:keepNext/>
        <w:spacing w:before="360" w:after="120"/>
      </w:pPr>
      <w:r>
        <w:rPr>
          <w:b/>
          <w:color w:val="003366"/>
          <w:sz w:val="30"/>
        </w:rPr>
        <w:t>1. Executive Summary</w:t>
      </w:r>
    </w:p>
    <w:p>
      <w:pPr>
        <w:spacing w:before="0" w:after="120" w:line="276" w:lineRule="auto"/>
      </w:pPr>
      <w:r>
        <w:rPr>
          <w:color w:val="222222"/>
        </w:rPr>
        <w:t>This research report evaluates a 36-hour building energy demand forecasting prototype developed using HistGradientBoosting (HGB). Designed to predict electricity consumption across 144 discrete 15-minute intervals, the prototype was benchmarked against a baseline Ridge Regression model and naive historical heuristics using a controlled experimental setup on an agricultural facility.</w:t>
      </w:r>
    </w:p>
    <w:p>
      <w:pPr>
        <w:spacing w:before="0" w:after="120" w:line="276" w:lineRule="auto"/>
      </w:pPr>
      <w:r>
        <w:rPr>
          <w:color w:val="222222"/>
        </w:rPr>
        <w:t>Overall, HistGradientBoosting achieved superior predictive performance across all primary evaluation metrics, delivering a 7% reduction in Mean Absolute Error (MAE) compared to Ridge Regression (2.64 kW vs. 2.85 kW) and a 24% to 30% improvement over naive baselines. However, both machine learning models exhibited similar limitations when predicting short-duration, high-power spikes inherent to farm operations.</w:t>
      </w:r>
    </w:p>
    <w:tbl>
      <w:tblPr>
        <w:tblW w:type="auto" w:w="0"/>
        <w:jc w:val="center"/>
        <w:tblLook w:firstColumn="1" w:firstRow="1" w:lastColumn="0" w:lastRow="0" w:noHBand="0" w:noVBand="1" w:val="04A0"/>
      </w:tblPr>
      <w:tblGrid>
        <w:gridCol w:w="9360"/>
      </w:tblGrid>
      <w:tr>
        <w:tc>
          <w:tcPr>
            <w:tcW w:type="dxa" w:w="9360"/>
            <w:shd w:fill="F4F7FA"/>
            <w:tcMar>
              <w:top w:w="140" w:type="dxa"/>
              <w:bottom w:w="140" w:type="dxa"/>
              <w:left w:w="200" w:type="dxa"/>
              <w:right w:w="200" w:type="dxa"/>
            </w:tcMar>
            <w:tcBorders>
              <w:left w:val="single" w:sz="24" w:space="0" w:color="005A9C"/>
              <w:top w:val="none"/>
              <w:right w:val="none"/>
              <w:bottom w:val="none"/>
            </w:tcBorders>
          </w:tcPr>
          <w:p>
            <w:pPr>
              <w:spacing w:before="40" w:after="40"/>
            </w:pPr>
            <w:r>
              <w:rPr>
                <w:rFonts w:ascii="Arial" w:hAnsi="Arial"/>
                <w:b/>
                <w:color w:val="005A9C"/>
                <w:sz w:val="21"/>
              </w:rPr>
              <w:t xml:space="preserve">KEY HIGHLIGHT: </w:t>
            </w:r>
            <w:r>
              <w:rPr>
                <w:rFonts w:ascii="Arial" w:hAnsi="Arial"/>
                <w:color w:val="222222"/>
                <w:sz w:val="20"/>
              </w:rPr>
              <w:t>HistGradientBoosting achieves a 7% lower MAE (2.64 kW) than Ridge Regression (2.85 kW) across 1,068 test forecasts, but both models show comparable RMSE due to sudden operational energy spikes.</w:t>
            </w:r>
          </w:p>
        </w:tc>
      </w:tr>
    </w:tbl>
    <w:p/>
    <w:p>
      <w:pPr>
        <w:keepNext/>
        <w:spacing w:before="360" w:after="120"/>
      </w:pPr>
      <w:r>
        <w:rPr>
          <w:b/>
          <w:color w:val="003366"/>
          <w:sz w:val="30"/>
        </w:rPr>
        <w:t>2. Experimental Setup &amp; Methodology</w:t>
      </w:r>
    </w:p>
    <w:p>
      <w:pPr>
        <w:keepNext/>
        <w:spacing w:before="240" w:after="80"/>
      </w:pPr>
      <w:r>
        <w:rPr>
          <w:b/>
          <w:color w:val="005A9C"/>
          <w:sz w:val="24"/>
        </w:rPr>
        <w:t>2.1 Target Building Profile</w:t>
      </w:r>
    </w:p>
    <w:p>
      <w:pPr>
        <w:spacing w:before="0" w:after="120" w:line="276" w:lineRule="auto"/>
      </w:pPr>
      <w:r>
        <w:rPr>
          <w:b/>
          <w:color w:val="222222"/>
        </w:rPr>
        <w:t xml:space="preserve">Building ID: </w:t>
      </w:r>
      <w:r>
        <w:rPr>
          <w:color w:val="222222"/>
        </w:rPr>
        <w:t>6a1bf87e-d798-4e93-a648-a8e948fc24c2</w:t>
      </w:r>
    </w:p>
    <w:p>
      <w:pPr>
        <w:spacing w:before="0" w:after="120" w:line="276" w:lineRule="auto"/>
      </w:pPr>
      <w:r>
        <w:rPr>
          <w:b/>
          <w:color w:val="222222"/>
        </w:rPr>
        <w:t xml:space="preserve">Building Type: </w:t>
      </w:r>
      <w:r>
        <w:rPr>
          <w:color w:val="222222"/>
        </w:rPr>
        <w:t>Farm</w:t>
      </w:r>
    </w:p>
    <w:p>
      <w:pPr>
        <w:spacing w:before="0" w:after="120" w:line="276" w:lineRule="auto"/>
      </w:pPr>
      <w:r>
        <w:rPr>
          <w:b/>
          <w:color w:val="222222"/>
        </w:rPr>
        <w:t xml:space="preserve">Target Variable (consumption_w): </w:t>
      </w:r>
      <w:r>
        <w:rPr>
          <w:color w:val="222222"/>
        </w:rPr>
        <w:t>Net building electricity consumption (converted to kW for evaluation). This represents site load independent of solar generation and battery storage.</w:t>
      </w:r>
    </w:p>
    <w:p>
      <w:pPr>
        <w:keepNext/>
        <w:spacing w:before="240" w:after="80"/>
      </w:pPr>
      <w:r>
        <w:rPr>
          <w:b/>
          <w:color w:val="005A9C"/>
          <w:sz w:val="24"/>
        </w:rPr>
        <w:t>2.2 Dataset &amp; Cleansing</w:t>
      </w:r>
    </w:p>
    <w:p>
      <w:pPr>
        <w:spacing w:before="0" w:after="120" w:line="276" w:lineRule="auto"/>
      </w:pPr>
      <w:r>
        <w:rPr>
          <w:b/>
          <w:color w:val="222222"/>
        </w:rPr>
        <w:t xml:space="preserve">Historical Data Volume: </w:t>
      </w:r>
      <w:r>
        <w:rPr>
          <w:color w:val="222222"/>
        </w:rPr>
        <w:t>460 days (~15 months of continuous historical 15-minute observations).</w:t>
      </w:r>
    </w:p>
    <w:p>
      <w:pPr>
        <w:spacing w:before="0" w:after="120" w:line="276" w:lineRule="auto"/>
      </w:pPr>
      <w:r>
        <w:rPr>
          <w:b/>
          <w:color w:val="222222"/>
        </w:rPr>
        <w:t xml:space="preserve">Data Cleansing: </w:t>
      </w:r>
      <w:r>
        <w:rPr>
          <w:color w:val="222222"/>
        </w:rPr>
        <w:t>A total of 59 negative consumption readings (physically impossible for demand load) were identified and corrected using linear neighborhood interpolation.</w:t>
      </w:r>
    </w:p>
    <w:p>
      <w:pPr>
        <w:spacing w:before="0" w:after="120" w:line="276" w:lineRule="auto"/>
      </w:pPr>
      <w:r>
        <w:rPr>
          <w:b/>
          <w:color w:val="222222"/>
        </w:rPr>
        <w:t xml:space="preserve">Train-Test Split: </w:t>
      </w:r>
      <w:r>
        <w:rPr>
          <w:color w:val="222222"/>
        </w:rPr>
        <w:t>To prevent data leakage, a strict 90/10 chronological split was executed:</w:t>
      </w:r>
    </w:p>
    <w:p>
      <w:pPr>
        <w:pStyle w:val="ListBullet"/>
        <w:spacing w:after="40"/>
      </w:pPr>
      <w:r>
        <w:rPr>
          <w:b/>
        </w:rPr>
        <w:t>Training Set: June 18, 2025 – August 6, 2026</w:t>
      </w:r>
    </w:p>
    <w:p>
      <w:pPr>
        <w:pStyle w:val="ListBullet"/>
        <w:spacing w:after="120"/>
      </w:pPr>
      <w:r>
        <w:rPr>
          <w:b/>
        </w:rPr>
        <w:t>Testing Set: August 6, 2026 – September 21, 2026 (46 days)</w:t>
      </w:r>
    </w:p>
    <w:p>
      <w:pPr>
        <w:keepNext/>
        <w:spacing w:before="240" w:after="80"/>
      </w:pPr>
      <w:r>
        <w:rPr>
          <w:b/>
          <w:color w:val="005A9C"/>
          <w:sz w:val="24"/>
        </w:rPr>
        <w:t>2.3 Forecasting Architecture &amp; Feature Engineering</w:t>
      </w:r>
    </w:p>
    <w:p>
      <w:pPr>
        <w:spacing w:before="0" w:after="120" w:line="276" w:lineRule="auto"/>
      </w:pPr>
      <w:r>
        <w:rPr>
          <w:color w:val="222222"/>
        </w:rPr>
        <w:t>The prototype predicts 36 hours ahead in 144 steps of 15 minutes each. Over the 46-day test window, 1,068 rolling forecasts were evaluated at 1-hour increments. The model incorporates four key feature categories:</w:t>
      </w:r>
    </w:p>
    <w:p>
      <w:pPr>
        <w:pStyle w:val="ListBullet"/>
        <w:spacing w:after="60"/>
      </w:pPr>
      <w:r>
        <w:rPr>
          <w:b/>
        </w:rPr>
        <w:t xml:space="preserve">Historical Load Lags: </w:t>
      </w:r>
      <w:r>
        <w:t>Past consumption values lagged from 15 minutes up to 7 days prior to the forecast horizon.</w:t>
      </w:r>
    </w:p>
    <w:p>
      <w:pPr>
        <w:pStyle w:val="ListBullet"/>
        <w:spacing w:after="60"/>
      </w:pPr>
      <w:r>
        <w:rPr>
          <w:b/>
        </w:rPr>
        <w:t xml:space="preserve">Temporal Indicators: </w:t>
      </w:r>
      <w:r>
        <w:t>Time of day, day of week, and seasonal indicators constructed using Dutch Local Time to accurately align with local agricultural routines.</w:t>
      </w:r>
    </w:p>
    <w:p>
      <w:pPr>
        <w:pStyle w:val="ListBullet"/>
        <w:spacing w:after="60"/>
      </w:pPr>
      <w:r>
        <w:rPr>
          <w:b/>
        </w:rPr>
        <w:t xml:space="preserve">Weather Inputs: </w:t>
      </w:r>
      <w:r>
        <w:t>Measured ambient temperature, relative humidity, precipitation, cloud cover, solar radiation, and wind speed.</w:t>
      </w:r>
    </w:p>
    <w:p>
      <w:pPr>
        <w:pStyle w:val="ListBullet"/>
        <w:spacing w:after="60"/>
      </w:pPr>
      <w:r>
        <w:rPr>
          <w:b/>
        </w:rPr>
        <w:t xml:space="preserve">Direct Multi-Step Output: </w:t>
      </w:r>
      <w:r>
        <w:t>A single model directly outputs all 144 steps simultaneously, preventing error accumulation over the 36-hour window.</w:t>
      </w:r>
    </w:p>
    <w:p/>
    <w:p>
      <w:pPr>
        <w:keepNext/>
        <w:spacing w:before="360" w:after="120"/>
      </w:pPr>
      <w:r>
        <w:rPr>
          <w:b/>
          <w:color w:val="003366"/>
          <w:sz w:val="30"/>
        </w:rPr>
        <w:t>3. Comparative Results &amp; Performance Evaluation</w:t>
      </w:r>
    </w:p>
    <w:p>
      <w:pPr>
        <w:spacing w:before="0" w:after="120" w:line="276" w:lineRule="auto"/>
      </w:pPr>
      <w:r>
        <w:rPr>
          <w:color w:val="222222"/>
        </w:rPr>
        <w:t>The models were evaluated across five standard regression metrics: Mean Absolute Error (MAE), Root Mean Squared Error (RMSE), Mean Absolute Percentage Error (MAPE), Normalized MAE (NMAE), and Normalized RMSE (NRMSE). Both normalized metrics are scaled by the test period average actual load of 12.67 kW.</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168"/>
            <w:shd w:fill="003366"/>
            <w:tcMar>
              <w:top w:w="100" w:type="dxa"/>
              <w:bottom w:w="100" w:type="dxa"/>
              <w:left w:w="100" w:type="dxa"/>
              <w:right w:w="100" w:type="dxa"/>
            </w:tcMar>
          </w:tcPr>
          <w:p>
            <w:pPr>
              <w:spacing w:before="80" w:after="80"/>
              <w:jc w:val="left"/>
            </w:pPr>
            <w:r>
              <w:rPr>
                <w:b/>
                <w:color w:val="FFFFFF"/>
                <w:sz w:val="19"/>
              </w:rPr>
              <w:t>Model / Baseline</w:t>
            </w:r>
          </w:p>
        </w:tc>
        <w:tc>
          <w:tcPr>
            <w:tcW w:type="dxa" w:w="1224"/>
            <w:shd w:fill="003366"/>
            <w:tcMar>
              <w:top w:w="100" w:type="dxa"/>
              <w:bottom w:w="100" w:type="dxa"/>
              <w:left w:w="100" w:type="dxa"/>
              <w:right w:w="100" w:type="dxa"/>
            </w:tcMar>
          </w:tcPr>
          <w:p>
            <w:pPr>
              <w:spacing w:before="80" w:after="80"/>
              <w:jc w:val="center"/>
            </w:pPr>
            <w:r>
              <w:rPr>
                <w:b/>
                <w:color w:val="FFFFFF"/>
                <w:sz w:val="19"/>
              </w:rPr>
              <w:t>MAE (kW)</w:t>
            </w:r>
          </w:p>
        </w:tc>
        <w:tc>
          <w:tcPr>
            <w:tcW w:type="dxa" w:w="1224"/>
            <w:shd w:fill="003366"/>
            <w:tcMar>
              <w:top w:w="100" w:type="dxa"/>
              <w:bottom w:w="100" w:type="dxa"/>
              <w:left w:w="100" w:type="dxa"/>
              <w:right w:w="100" w:type="dxa"/>
            </w:tcMar>
          </w:tcPr>
          <w:p>
            <w:pPr>
              <w:spacing w:before="80" w:after="80"/>
              <w:jc w:val="center"/>
            </w:pPr>
            <w:r>
              <w:rPr>
                <w:b/>
                <w:color w:val="FFFFFF"/>
                <w:sz w:val="19"/>
              </w:rPr>
              <w:t>RMSE (kW)</w:t>
            </w:r>
          </w:p>
        </w:tc>
        <w:tc>
          <w:tcPr>
            <w:tcW w:type="dxa" w:w="1224"/>
            <w:shd w:fill="003366"/>
            <w:tcMar>
              <w:top w:w="100" w:type="dxa"/>
              <w:bottom w:w="100" w:type="dxa"/>
              <w:left w:w="100" w:type="dxa"/>
              <w:right w:w="100" w:type="dxa"/>
            </w:tcMar>
          </w:tcPr>
          <w:p>
            <w:pPr>
              <w:spacing w:before="80" w:after="80"/>
              <w:jc w:val="center"/>
            </w:pPr>
            <w:r>
              <w:rPr>
                <w:b/>
                <w:color w:val="FFFFFF"/>
                <w:sz w:val="19"/>
              </w:rPr>
              <w:t>MAPE (%)</w:t>
            </w:r>
          </w:p>
        </w:tc>
        <w:tc>
          <w:tcPr>
            <w:tcW w:type="dxa" w:w="1224"/>
            <w:shd w:fill="003366"/>
            <w:tcMar>
              <w:top w:w="100" w:type="dxa"/>
              <w:bottom w:w="100" w:type="dxa"/>
              <w:left w:w="100" w:type="dxa"/>
              <w:right w:w="100" w:type="dxa"/>
            </w:tcMar>
          </w:tcPr>
          <w:p>
            <w:pPr>
              <w:spacing w:before="80" w:after="80"/>
              <w:jc w:val="center"/>
            </w:pPr>
            <w:r>
              <w:rPr>
                <w:b/>
                <w:color w:val="FFFFFF"/>
                <w:sz w:val="19"/>
              </w:rPr>
              <w:t>NMAE (%)</w:t>
            </w:r>
          </w:p>
        </w:tc>
        <w:tc>
          <w:tcPr>
            <w:tcW w:type="dxa" w:w="1224"/>
            <w:shd w:fill="003366"/>
            <w:tcMar>
              <w:top w:w="100" w:type="dxa"/>
              <w:bottom w:w="100" w:type="dxa"/>
              <w:left w:w="100" w:type="dxa"/>
              <w:right w:w="100" w:type="dxa"/>
            </w:tcMar>
          </w:tcPr>
          <w:p>
            <w:pPr>
              <w:spacing w:before="80" w:after="80"/>
              <w:jc w:val="center"/>
            </w:pPr>
            <w:r>
              <w:rPr>
                <w:b/>
                <w:color w:val="FFFFFF"/>
                <w:sz w:val="19"/>
              </w:rPr>
              <w:t>NRMSE (%)</w:t>
            </w:r>
          </w:p>
        </w:tc>
      </w:tr>
      <w:tr>
        <w:tc>
          <w:tcPr>
            <w:tcW w:type="dxa" w:w="3168"/>
            <w:shd w:fill="E6EEF5"/>
            <w:tcMar>
              <w:top w:w="80" w:type="dxa"/>
              <w:bottom w:w="80" w:type="dxa"/>
              <w:left w:w="100" w:type="dxa"/>
              <w:right w:w="100" w:type="dxa"/>
            </w:tcMar>
            <w:tcBorders>
              <w:bottom w:val="single" w:sz="4" w:space="0" w:color="D0D7DE"/>
            </w:tcBorders>
          </w:tcPr>
          <w:p>
            <w:pPr>
              <w:spacing w:before="80" w:after="80"/>
              <w:jc w:val="left"/>
            </w:pPr>
            <w:r>
              <w:rPr>
                <w:b/>
                <w:color w:val="003366"/>
                <w:sz w:val="19"/>
              </w:rPr>
              <w:t>Gradient Boosting (HGB)</w:t>
            </w:r>
          </w:p>
        </w:tc>
        <w:tc>
          <w:tcPr>
            <w:tcW w:type="dxa" w:w="1224"/>
            <w:shd w:fill="E6EEF5"/>
            <w:tcMar>
              <w:top w:w="80" w:type="dxa"/>
              <w:bottom w:w="80" w:type="dxa"/>
              <w:left w:w="100" w:type="dxa"/>
              <w:right w:w="100" w:type="dxa"/>
            </w:tcMar>
            <w:tcBorders>
              <w:bottom w:val="single" w:sz="4" w:space="0" w:color="D0D7DE"/>
            </w:tcBorders>
          </w:tcPr>
          <w:p>
            <w:pPr>
              <w:spacing w:before="80" w:after="80"/>
              <w:jc w:val="center"/>
            </w:pPr>
            <w:r>
              <w:rPr>
                <w:b/>
                <w:color w:val="003366"/>
                <w:sz w:val="19"/>
              </w:rPr>
              <w:t>2.64</w:t>
            </w:r>
          </w:p>
        </w:tc>
        <w:tc>
          <w:tcPr>
            <w:tcW w:type="dxa" w:w="1224"/>
            <w:shd w:fill="E6EEF5"/>
            <w:tcMar>
              <w:top w:w="80" w:type="dxa"/>
              <w:bottom w:w="80" w:type="dxa"/>
              <w:left w:w="100" w:type="dxa"/>
              <w:right w:w="100" w:type="dxa"/>
            </w:tcMar>
            <w:tcBorders>
              <w:bottom w:val="single" w:sz="4" w:space="0" w:color="D0D7DE"/>
            </w:tcBorders>
          </w:tcPr>
          <w:p>
            <w:pPr>
              <w:spacing w:before="80" w:after="80"/>
              <w:jc w:val="center"/>
            </w:pPr>
            <w:r>
              <w:rPr>
                <w:b/>
                <w:color w:val="003366"/>
                <w:sz w:val="19"/>
              </w:rPr>
              <w:t>3.76</w:t>
            </w:r>
          </w:p>
        </w:tc>
        <w:tc>
          <w:tcPr>
            <w:tcW w:type="dxa" w:w="1224"/>
            <w:shd w:fill="E6EEF5"/>
            <w:tcMar>
              <w:top w:w="80" w:type="dxa"/>
              <w:bottom w:w="80" w:type="dxa"/>
              <w:left w:w="100" w:type="dxa"/>
              <w:right w:w="100" w:type="dxa"/>
            </w:tcMar>
            <w:tcBorders>
              <w:bottom w:val="single" w:sz="4" w:space="0" w:color="D0D7DE"/>
            </w:tcBorders>
          </w:tcPr>
          <w:p>
            <w:pPr>
              <w:spacing w:before="80" w:after="80"/>
              <w:jc w:val="center"/>
            </w:pPr>
            <w:r>
              <w:rPr>
                <w:b/>
                <w:color w:val="003366"/>
                <w:sz w:val="19"/>
              </w:rPr>
              <w:t>23.0%</w:t>
            </w:r>
          </w:p>
        </w:tc>
        <w:tc>
          <w:tcPr>
            <w:tcW w:type="dxa" w:w="1224"/>
            <w:shd w:fill="E6EEF5"/>
            <w:tcMar>
              <w:top w:w="80" w:type="dxa"/>
              <w:bottom w:w="80" w:type="dxa"/>
              <w:left w:w="100" w:type="dxa"/>
              <w:right w:w="100" w:type="dxa"/>
            </w:tcMar>
            <w:tcBorders>
              <w:bottom w:val="single" w:sz="4" w:space="0" w:color="D0D7DE"/>
            </w:tcBorders>
          </w:tcPr>
          <w:p>
            <w:pPr>
              <w:spacing w:before="80" w:after="80"/>
              <w:jc w:val="center"/>
            </w:pPr>
            <w:r>
              <w:rPr>
                <w:b/>
                <w:color w:val="003366"/>
                <w:sz w:val="19"/>
              </w:rPr>
              <w:t>20.8%</w:t>
            </w:r>
          </w:p>
        </w:tc>
        <w:tc>
          <w:tcPr>
            <w:tcW w:type="dxa" w:w="1224"/>
            <w:shd w:fill="E6EEF5"/>
            <w:tcMar>
              <w:top w:w="80" w:type="dxa"/>
              <w:bottom w:w="80" w:type="dxa"/>
              <w:left w:w="100" w:type="dxa"/>
              <w:right w:w="100" w:type="dxa"/>
            </w:tcMar>
            <w:tcBorders>
              <w:bottom w:val="single" w:sz="4" w:space="0" w:color="D0D7DE"/>
            </w:tcBorders>
          </w:tcPr>
          <w:p>
            <w:pPr>
              <w:spacing w:before="80" w:after="80"/>
              <w:jc w:val="center"/>
            </w:pPr>
            <w:r>
              <w:rPr>
                <w:b/>
                <w:color w:val="003366"/>
                <w:sz w:val="19"/>
              </w:rPr>
              <w:t>29.7%</w:t>
            </w:r>
          </w:p>
        </w:tc>
      </w:tr>
      <w:tr>
        <w:tc>
          <w:tcPr>
            <w:tcW w:type="dxa" w:w="3168"/>
            <w:shd w:fill="FFFFFF"/>
            <w:tcMar>
              <w:top w:w="80" w:type="dxa"/>
              <w:bottom w:w="80" w:type="dxa"/>
              <w:left w:w="100" w:type="dxa"/>
              <w:right w:w="100" w:type="dxa"/>
            </w:tcMar>
            <w:tcBorders>
              <w:bottom w:val="single" w:sz="4" w:space="0" w:color="D0D7DE"/>
            </w:tcBorders>
          </w:tcPr>
          <w:p>
            <w:pPr>
              <w:spacing w:before="80" w:after="80"/>
              <w:jc w:val="left"/>
            </w:pPr>
            <w:r>
              <w:rPr>
                <w:color w:val="222222"/>
                <w:sz w:val="19"/>
              </w:rPr>
              <w:t>Ridge Regression</w:t>
            </w:r>
          </w:p>
        </w:tc>
        <w:tc>
          <w:tcPr>
            <w:tcW w:type="dxa" w:w="1224"/>
            <w:shd w:fill="FFFFFF"/>
            <w:tcMar>
              <w:top w:w="80" w:type="dxa"/>
              <w:bottom w:w="80" w:type="dxa"/>
              <w:left w:w="100" w:type="dxa"/>
              <w:right w:w="100" w:type="dxa"/>
            </w:tcMar>
            <w:tcBorders>
              <w:bottom w:val="single" w:sz="4" w:space="0" w:color="D0D7DE"/>
            </w:tcBorders>
          </w:tcPr>
          <w:p>
            <w:pPr>
              <w:spacing w:before="80" w:after="80"/>
              <w:jc w:val="center"/>
            </w:pPr>
            <w:r>
              <w:rPr>
                <w:color w:val="222222"/>
                <w:sz w:val="19"/>
              </w:rPr>
              <w:t>2.85</w:t>
            </w:r>
          </w:p>
        </w:tc>
        <w:tc>
          <w:tcPr>
            <w:tcW w:type="dxa" w:w="1224"/>
            <w:shd w:fill="FFFFFF"/>
            <w:tcMar>
              <w:top w:w="80" w:type="dxa"/>
              <w:bottom w:w="80" w:type="dxa"/>
              <w:left w:w="100" w:type="dxa"/>
              <w:right w:w="100" w:type="dxa"/>
            </w:tcMar>
            <w:tcBorders>
              <w:bottom w:val="single" w:sz="4" w:space="0" w:color="D0D7DE"/>
            </w:tcBorders>
          </w:tcPr>
          <w:p>
            <w:pPr>
              <w:spacing w:before="80" w:after="80"/>
              <w:jc w:val="center"/>
            </w:pPr>
            <w:r>
              <w:rPr>
                <w:color w:val="222222"/>
                <w:sz w:val="19"/>
              </w:rPr>
              <w:t>3.80</w:t>
            </w:r>
          </w:p>
        </w:tc>
        <w:tc>
          <w:tcPr>
            <w:tcW w:type="dxa" w:w="1224"/>
            <w:shd w:fill="FFFFFF"/>
            <w:tcMar>
              <w:top w:w="80" w:type="dxa"/>
              <w:bottom w:w="80" w:type="dxa"/>
              <w:left w:w="100" w:type="dxa"/>
              <w:right w:w="100" w:type="dxa"/>
            </w:tcMar>
            <w:tcBorders>
              <w:bottom w:val="single" w:sz="4" w:space="0" w:color="D0D7DE"/>
            </w:tcBorders>
          </w:tcPr>
          <w:p>
            <w:pPr>
              <w:spacing w:before="80" w:after="80"/>
              <w:jc w:val="center"/>
            </w:pPr>
            <w:r>
              <w:rPr>
                <w:color w:val="222222"/>
                <w:sz w:val="19"/>
              </w:rPr>
              <w:t>24.9%</w:t>
            </w:r>
          </w:p>
        </w:tc>
        <w:tc>
          <w:tcPr>
            <w:tcW w:type="dxa" w:w="1224"/>
            <w:shd w:fill="FFFFFF"/>
            <w:tcMar>
              <w:top w:w="80" w:type="dxa"/>
              <w:bottom w:w="80" w:type="dxa"/>
              <w:left w:w="100" w:type="dxa"/>
              <w:right w:w="100" w:type="dxa"/>
            </w:tcMar>
            <w:tcBorders>
              <w:bottom w:val="single" w:sz="4" w:space="0" w:color="D0D7DE"/>
            </w:tcBorders>
          </w:tcPr>
          <w:p>
            <w:pPr>
              <w:spacing w:before="80" w:after="80"/>
              <w:jc w:val="center"/>
            </w:pPr>
            <w:r>
              <w:rPr>
                <w:color w:val="222222"/>
                <w:sz w:val="19"/>
              </w:rPr>
              <w:t>22.5%</w:t>
            </w:r>
          </w:p>
        </w:tc>
        <w:tc>
          <w:tcPr>
            <w:tcW w:type="dxa" w:w="1224"/>
            <w:shd w:fill="FFFFFF"/>
            <w:tcMar>
              <w:top w:w="80" w:type="dxa"/>
              <w:bottom w:w="80" w:type="dxa"/>
              <w:left w:w="100" w:type="dxa"/>
              <w:right w:w="100" w:type="dxa"/>
            </w:tcMar>
            <w:tcBorders>
              <w:bottom w:val="single" w:sz="4" w:space="0" w:color="D0D7DE"/>
            </w:tcBorders>
          </w:tcPr>
          <w:p>
            <w:pPr>
              <w:spacing w:before="80" w:after="80"/>
              <w:jc w:val="center"/>
            </w:pPr>
            <w:r>
              <w:rPr>
                <w:color w:val="222222"/>
                <w:sz w:val="19"/>
              </w:rPr>
              <w:t>30.0%</w:t>
            </w:r>
          </w:p>
        </w:tc>
      </w:tr>
      <w:tr>
        <w:tc>
          <w:tcPr>
            <w:tcW w:type="dxa" w:w="3168"/>
            <w:shd w:fill="F9FAFC"/>
            <w:tcMar>
              <w:top w:w="80" w:type="dxa"/>
              <w:bottom w:w="80" w:type="dxa"/>
              <w:left w:w="100" w:type="dxa"/>
              <w:right w:w="100" w:type="dxa"/>
            </w:tcMar>
            <w:tcBorders>
              <w:bottom w:val="single" w:sz="4" w:space="0" w:color="D0D7DE"/>
            </w:tcBorders>
          </w:tcPr>
          <w:p>
            <w:pPr>
              <w:spacing w:before="80" w:after="80"/>
              <w:jc w:val="left"/>
            </w:pPr>
            <w:r>
              <w:rPr>
                <w:color w:val="222222"/>
                <w:sz w:val="19"/>
              </w:rPr>
              <w:t>Same Time Yesterday (Naive)</w:t>
            </w:r>
          </w:p>
        </w:tc>
        <w:tc>
          <w:tcPr>
            <w:tcW w:type="dxa" w:w="1224"/>
            <w:shd w:fill="F9FAFC"/>
            <w:tcMar>
              <w:top w:w="80" w:type="dxa"/>
              <w:bottom w:w="80" w:type="dxa"/>
              <w:left w:w="100" w:type="dxa"/>
              <w:right w:w="100" w:type="dxa"/>
            </w:tcMar>
            <w:tcBorders>
              <w:bottom w:val="single" w:sz="4" w:space="0" w:color="D0D7DE"/>
            </w:tcBorders>
          </w:tcPr>
          <w:p>
            <w:pPr>
              <w:spacing w:before="80" w:after="80"/>
              <w:jc w:val="center"/>
            </w:pPr>
            <w:r>
              <w:rPr>
                <w:color w:val="222222"/>
                <w:sz w:val="19"/>
              </w:rPr>
              <w:t>3.47</w:t>
            </w:r>
          </w:p>
        </w:tc>
        <w:tc>
          <w:tcPr>
            <w:tcW w:type="dxa" w:w="1224"/>
            <w:shd w:fill="F9FAFC"/>
            <w:tcMar>
              <w:top w:w="80" w:type="dxa"/>
              <w:bottom w:w="80" w:type="dxa"/>
              <w:left w:w="100" w:type="dxa"/>
              <w:right w:w="100" w:type="dxa"/>
            </w:tcMar>
            <w:tcBorders>
              <w:bottom w:val="single" w:sz="4" w:space="0" w:color="D0D7DE"/>
            </w:tcBorders>
          </w:tcPr>
          <w:p>
            <w:pPr>
              <w:spacing w:before="80" w:after="80"/>
              <w:jc w:val="center"/>
            </w:pPr>
            <w:r>
              <w:rPr>
                <w:color w:val="222222"/>
                <w:sz w:val="19"/>
              </w:rPr>
              <w:t>5.01</w:t>
            </w:r>
          </w:p>
        </w:tc>
        <w:tc>
          <w:tcPr>
            <w:tcW w:type="dxa" w:w="1224"/>
            <w:shd w:fill="F9FAFC"/>
            <w:tcMar>
              <w:top w:w="80" w:type="dxa"/>
              <w:bottom w:w="80" w:type="dxa"/>
              <w:left w:w="100" w:type="dxa"/>
              <w:right w:w="100" w:type="dxa"/>
            </w:tcMar>
            <w:tcBorders>
              <w:bottom w:val="single" w:sz="4" w:space="0" w:color="D0D7DE"/>
            </w:tcBorders>
          </w:tcPr>
          <w:p>
            <w:pPr>
              <w:spacing w:before="80" w:after="80"/>
              <w:jc w:val="center"/>
            </w:pPr>
            <w:r>
              <w:rPr>
                <w:color w:val="222222"/>
                <w:sz w:val="19"/>
              </w:rPr>
              <w:t>28.1%</w:t>
            </w:r>
          </w:p>
        </w:tc>
        <w:tc>
          <w:tcPr>
            <w:tcW w:type="dxa" w:w="1224"/>
            <w:shd w:fill="F9FAFC"/>
            <w:tcMar>
              <w:top w:w="80" w:type="dxa"/>
              <w:bottom w:w="80" w:type="dxa"/>
              <w:left w:w="100" w:type="dxa"/>
              <w:right w:w="100" w:type="dxa"/>
            </w:tcMar>
            <w:tcBorders>
              <w:bottom w:val="single" w:sz="4" w:space="0" w:color="D0D7DE"/>
            </w:tcBorders>
          </w:tcPr>
          <w:p>
            <w:pPr>
              <w:spacing w:before="80" w:after="80"/>
              <w:jc w:val="center"/>
            </w:pPr>
            <w:r>
              <w:rPr>
                <w:color w:val="222222"/>
                <w:sz w:val="19"/>
              </w:rPr>
              <w:t>27.3%</w:t>
            </w:r>
          </w:p>
        </w:tc>
        <w:tc>
          <w:tcPr>
            <w:tcW w:type="dxa" w:w="1224"/>
            <w:shd w:fill="F9FAFC"/>
            <w:tcMar>
              <w:top w:w="80" w:type="dxa"/>
              <w:bottom w:w="80" w:type="dxa"/>
              <w:left w:w="100" w:type="dxa"/>
              <w:right w:w="100" w:type="dxa"/>
            </w:tcMar>
            <w:tcBorders>
              <w:bottom w:val="single" w:sz="4" w:space="0" w:color="D0D7DE"/>
            </w:tcBorders>
          </w:tcPr>
          <w:p>
            <w:pPr>
              <w:spacing w:before="80" w:after="80"/>
              <w:jc w:val="center"/>
            </w:pPr>
            <w:r>
              <w:rPr>
                <w:color w:val="222222"/>
                <w:sz w:val="19"/>
              </w:rPr>
              <w:t>39.5%</w:t>
            </w:r>
          </w:p>
        </w:tc>
      </w:tr>
      <w:tr>
        <w:tc>
          <w:tcPr>
            <w:tcW w:type="dxa" w:w="3168"/>
            <w:shd w:fill="FFFFFF"/>
            <w:tcMar>
              <w:top w:w="80" w:type="dxa"/>
              <w:bottom w:w="80" w:type="dxa"/>
              <w:left w:w="100" w:type="dxa"/>
              <w:right w:w="100" w:type="dxa"/>
            </w:tcMar>
            <w:tcBorders>
              <w:bottom w:val="single" w:sz="4" w:space="0" w:color="D0D7DE"/>
            </w:tcBorders>
          </w:tcPr>
          <w:p>
            <w:pPr>
              <w:spacing w:before="80" w:after="80"/>
              <w:jc w:val="left"/>
            </w:pPr>
            <w:r>
              <w:rPr>
                <w:color w:val="222222"/>
                <w:sz w:val="19"/>
              </w:rPr>
              <w:t>Same Time Last Week (Naive)</w:t>
            </w:r>
          </w:p>
        </w:tc>
        <w:tc>
          <w:tcPr>
            <w:tcW w:type="dxa" w:w="1224"/>
            <w:shd w:fill="FFFFFF"/>
            <w:tcMar>
              <w:top w:w="80" w:type="dxa"/>
              <w:bottom w:w="80" w:type="dxa"/>
              <w:left w:w="100" w:type="dxa"/>
              <w:right w:w="100" w:type="dxa"/>
            </w:tcMar>
            <w:tcBorders>
              <w:bottom w:val="single" w:sz="4" w:space="0" w:color="D0D7DE"/>
            </w:tcBorders>
          </w:tcPr>
          <w:p>
            <w:pPr>
              <w:spacing w:before="80" w:after="80"/>
              <w:jc w:val="center"/>
            </w:pPr>
            <w:r>
              <w:rPr>
                <w:color w:val="222222"/>
                <w:sz w:val="19"/>
              </w:rPr>
              <w:t>3.80</w:t>
            </w:r>
          </w:p>
        </w:tc>
        <w:tc>
          <w:tcPr>
            <w:tcW w:type="dxa" w:w="1224"/>
            <w:shd w:fill="FFFFFF"/>
            <w:tcMar>
              <w:top w:w="80" w:type="dxa"/>
              <w:bottom w:w="80" w:type="dxa"/>
              <w:left w:w="100" w:type="dxa"/>
              <w:right w:w="100" w:type="dxa"/>
            </w:tcMar>
            <w:tcBorders>
              <w:bottom w:val="single" w:sz="4" w:space="0" w:color="D0D7DE"/>
            </w:tcBorders>
          </w:tcPr>
          <w:p>
            <w:pPr>
              <w:spacing w:before="80" w:after="80"/>
              <w:jc w:val="center"/>
            </w:pPr>
            <w:r>
              <w:rPr>
                <w:color w:val="222222"/>
                <w:sz w:val="19"/>
              </w:rPr>
              <w:t>5.28</w:t>
            </w:r>
          </w:p>
        </w:tc>
        <w:tc>
          <w:tcPr>
            <w:tcW w:type="dxa" w:w="1224"/>
            <w:shd w:fill="FFFFFF"/>
            <w:tcMar>
              <w:top w:w="80" w:type="dxa"/>
              <w:bottom w:w="80" w:type="dxa"/>
              <w:left w:w="100" w:type="dxa"/>
              <w:right w:w="100" w:type="dxa"/>
            </w:tcMar>
            <w:tcBorders>
              <w:bottom w:val="single" w:sz="4" w:space="0" w:color="D0D7DE"/>
            </w:tcBorders>
          </w:tcPr>
          <w:p>
            <w:pPr>
              <w:spacing w:before="80" w:after="80"/>
              <w:jc w:val="center"/>
            </w:pPr>
            <w:r>
              <w:rPr>
                <w:color w:val="222222"/>
                <w:sz w:val="19"/>
              </w:rPr>
              <w:t>31.6%</w:t>
            </w:r>
          </w:p>
        </w:tc>
        <w:tc>
          <w:tcPr>
            <w:tcW w:type="dxa" w:w="1224"/>
            <w:shd w:fill="FFFFFF"/>
            <w:tcMar>
              <w:top w:w="80" w:type="dxa"/>
              <w:bottom w:w="80" w:type="dxa"/>
              <w:left w:w="100" w:type="dxa"/>
              <w:right w:w="100" w:type="dxa"/>
            </w:tcMar>
            <w:tcBorders>
              <w:bottom w:val="single" w:sz="4" w:space="0" w:color="D0D7DE"/>
            </w:tcBorders>
          </w:tcPr>
          <w:p>
            <w:pPr>
              <w:spacing w:before="80" w:after="80"/>
              <w:jc w:val="center"/>
            </w:pPr>
            <w:r>
              <w:rPr>
                <w:color w:val="222222"/>
                <w:sz w:val="19"/>
              </w:rPr>
              <w:t>29.9%</w:t>
            </w:r>
          </w:p>
        </w:tc>
        <w:tc>
          <w:tcPr>
            <w:tcW w:type="dxa" w:w="1224"/>
            <w:shd w:fill="FFFFFF"/>
            <w:tcMar>
              <w:top w:w="80" w:type="dxa"/>
              <w:bottom w:w="80" w:type="dxa"/>
              <w:left w:w="100" w:type="dxa"/>
              <w:right w:w="100" w:type="dxa"/>
            </w:tcMar>
            <w:tcBorders>
              <w:bottom w:val="single" w:sz="4" w:space="0" w:color="D0D7DE"/>
            </w:tcBorders>
          </w:tcPr>
          <w:p>
            <w:pPr>
              <w:spacing w:before="80" w:after="80"/>
              <w:jc w:val="center"/>
            </w:pPr>
            <w:r>
              <w:rPr>
                <w:color w:val="222222"/>
                <w:sz w:val="19"/>
              </w:rPr>
              <w:t>41.6%</w:t>
            </w:r>
          </w:p>
        </w:tc>
      </w:tr>
    </w:tbl>
    <w:p/>
    <w:p>
      <w:pPr>
        <w:keepNext/>
        <w:spacing w:before="360" w:after="120"/>
      </w:pPr>
      <w:r>
        <w:rPr>
          <w:b/>
          <w:color w:val="003366"/>
          <w:sz w:val="30"/>
        </w:rPr>
        <w:t>4. Key Technical Findings</w:t>
      </w:r>
    </w:p>
    <w:p>
      <w:pPr>
        <w:spacing w:before="0" w:after="120" w:line="276" w:lineRule="auto"/>
      </w:pPr>
      <w:r>
        <w:rPr>
          <w:b/>
          <w:color w:val="222222"/>
        </w:rPr>
        <w:t xml:space="preserve">Accuracy Lead over Baseline: </w:t>
      </w:r>
      <w:r>
        <w:rPr>
          <w:color w:val="222222"/>
        </w:rPr>
        <w:t>HistGradientBoosting attained the lowest error across all five metrics. Its MAE of 2.64 kW represents a ~7% improvement over Ridge Regression (2.85 kW) and a ~24% reduction in error compared to copying yesterday's values (3.47 kW).</w:t>
      </w:r>
    </w:p>
    <w:p>
      <w:pPr>
        <w:spacing w:before="0" w:after="120" w:line="276" w:lineRule="auto"/>
      </w:pPr>
      <w:r>
        <w:rPr>
          <w:b/>
          <w:color w:val="222222"/>
        </w:rPr>
        <w:t xml:space="preserve">Extreme Spike Behavior (RMSE): </w:t>
      </w:r>
      <w:r>
        <w:rPr>
          <w:color w:val="222222"/>
        </w:rPr>
        <w:t>While HGB outperforms Ridge on MAE, its RMSE (3.76 kW) is nearly identical to Ridge's (3.80 kW). This indicates HGB handles typical baseline operational hours better, but both models encounter similar difficulty when large, abrupt equipment spikes occur.</w:t>
      </w:r>
    </w:p>
    <w:p>
      <w:pPr>
        <w:spacing w:before="0" w:after="120" w:line="276" w:lineRule="auto"/>
      </w:pPr>
      <w:r>
        <w:rPr>
          <w:b/>
          <w:color w:val="222222"/>
        </w:rPr>
        <w:t xml:space="preserve">Impact of High Equipment Load Spikes: </w:t>
      </w:r>
      <w:r>
        <w:rPr>
          <w:color w:val="222222"/>
        </w:rPr>
        <w:t>Both models exhibit relatively high MAPE (~23%). On an agricultural site, sharp short-duration energy draws (e.g., milking machines, water pumps) create large percentage errors during off-peak, low-baseline hours.</w:t>
      </w:r>
    </w:p>
    <w:p>
      <w:pPr>
        <w:spacing w:before="0" w:after="120" w:line="276" w:lineRule="auto"/>
      </w:pPr>
      <w:r>
        <w:rPr>
          <w:b/>
          <w:color w:val="222222"/>
        </w:rPr>
        <w:t xml:space="preserve">Flat Horizon Error Profile: </w:t>
      </w:r>
      <w:r>
        <w:rPr>
          <w:color w:val="222222"/>
        </w:rPr>
        <w:t>Because the architecture predicts all 144 steps directly using discrete horizon features, forecasting error remains flat from Hour 1 through Hour 36 rather than compounding over time.</w:t>
      </w:r>
    </w:p>
    <w:p>
      <w:pPr>
        <w:keepNext/>
        <w:spacing w:before="360" w:after="120"/>
      </w:pPr>
      <w:r>
        <w:rPr>
          <w:b/>
          <w:color w:val="003366"/>
          <w:sz w:val="30"/>
        </w:rPr>
        <w:t>5. Practical Limitations &amp; Deployment Considerations</w:t>
      </w:r>
    </w:p>
    <w:p>
      <w:pPr>
        <w:spacing w:before="0" w:after="120" w:line="276" w:lineRule="auto"/>
      </w:pPr>
      <w:r>
        <w:rPr>
          <w:b/>
          <w:color w:val="222222"/>
        </w:rPr>
        <w:t xml:space="preserve">Perfect Weather Information: </w:t>
      </w:r>
      <w:r>
        <w:rPr>
          <w:color w:val="222222"/>
        </w:rPr>
        <w:t>The experimental setup used actual observed weather values. In live deployment within Envitron's platform, forecasts will rely on third-party weather APIs (e.g., KNMI or Open-Meteo), which will introduce weather prediction noise and slightly increase error.</w:t>
      </w:r>
    </w:p>
    <w:p>
      <w:pPr>
        <w:spacing w:before="0" w:after="120" w:line="276" w:lineRule="auto"/>
      </w:pPr>
      <w:r>
        <w:rPr>
          <w:b/>
          <w:color w:val="222222"/>
        </w:rPr>
        <w:t xml:space="preserve">Prediction Intervals: </w:t>
      </w:r>
      <w:r>
        <w:rPr>
          <w:color w:val="222222"/>
        </w:rPr>
        <w:t>The 80% prediction interval (10%–90%) only captured the actual energy values 58% of the time due to unpredictable machine activations. It is recommended to refine or exclude uncertainty bounds until spike modeling is improved.</w:t>
      </w:r>
    </w:p>
    <w:p>
      <w:pPr>
        <w:spacing w:before="0" w:after="120" w:line="276" w:lineRule="auto"/>
      </w:pPr>
      <w:r>
        <w:rPr>
          <w:b/>
          <w:color w:val="222222"/>
        </w:rPr>
        <w:t xml:space="preserve">Model Complexity Trade-Off: </w:t>
      </w:r>
      <w:r>
        <w:rPr>
          <w:color w:val="222222"/>
        </w:rPr>
        <w:t>Although HGB yields a 7% accuracy gain over Ridge Regression, Ridge is significantly lighter, faster, and easier to explain. Envitron should evaluate whether the 0.21 kW MAE reduction justifies the additional model complexity.</w:t>
      </w:r>
    </w:p>
    <w:p>
      <w:pPr>
        <w:keepNext/>
        <w:spacing w:before="360" w:after="120"/>
      </w:pPr>
      <w:r>
        <w:rPr>
          <w:b/>
          <w:color w:val="003366"/>
          <w:sz w:val="30"/>
        </w:rPr>
        <w:t>6. Strategic Conclusion &amp; Recommendations</w:t>
      </w:r>
    </w:p>
    <w:p>
      <w:pPr>
        <w:spacing w:before="0" w:after="120" w:line="276" w:lineRule="auto"/>
      </w:pPr>
      <w:r>
        <w:rPr>
          <w:color w:val="222222"/>
        </w:rPr>
        <w:t>In conclusion, the 36-hour HistGradientBoosting (HGB) prototype demonstrates a tangible accuracy advantage over traditional linear methods for building energy demand forecasting. By capturing non-linear interactions between temporal cycles, recent usage trends, and weather conditions, HGB achieves an MAE of 2.64 kW—outperforming Ridge Regression by 7% and baseline historical copy models by up to 30%.</w:t>
      </w:r>
    </w:p>
    <w:p>
      <w:pPr>
        <w:spacing w:before="0" w:after="120" w:line="276" w:lineRule="auto"/>
      </w:pPr>
      <w:r>
        <w:rPr>
          <w:color w:val="222222"/>
        </w:rPr>
        <w:t>For Envitron Group, deploying this model in a commercial setting requires addressing two strategic priorities:</w:t>
      </w:r>
    </w:p>
    <w:p>
      <w:pPr>
        <w:spacing w:before="0" w:after="120" w:line="276" w:lineRule="auto"/>
      </w:pPr>
      <w:r>
        <w:rPr>
          <w:b/>
          <w:color w:val="222222"/>
        </w:rPr>
        <w:t xml:space="preserve">1. Operational Weather Integration: </w:t>
      </w:r>
      <w:r>
        <w:rPr>
          <w:color w:val="222222"/>
        </w:rPr>
        <w:t>The prototype must be coupled with external live forecasting APIs (such as KNMI or Open-Meteo). Envitron should expect a minor degradation in forecast accuracy due to weather uncertainty in real-world conditions.</w:t>
      </w:r>
    </w:p>
    <w:p>
      <w:pPr>
        <w:spacing w:before="0" w:after="120" w:line="276" w:lineRule="auto"/>
      </w:pPr>
      <w:r>
        <w:rPr>
          <w:b/>
          <w:color w:val="222222"/>
        </w:rPr>
        <w:t xml:space="preserve">2. Handling Peak Equipment Spikes: </w:t>
      </w:r>
      <w:r>
        <w:rPr>
          <w:color w:val="222222"/>
        </w:rPr>
        <w:t>Since both HGB and Ridge struggle with high-amplitude power spikes from heavy agricultural equipment, future development should incorporate hybrid event-detection heuristics or classification sub-models to handle equipment triggers independently.</w:t>
      </w:r>
    </w:p>
    <w:p>
      <w:pPr>
        <w:spacing w:before="0" w:after="120" w:line="276" w:lineRule="auto"/>
      </w:pPr>
      <w:r>
        <w:rPr>
          <w:b/>
          <w:color w:val="222222"/>
        </w:rPr>
        <w:t xml:space="preserve">3. Architecture Decision: </w:t>
      </w:r>
      <w:r>
        <w:rPr>
          <w:color w:val="222222"/>
        </w:rPr>
        <w:t>If Envitron prioritizes maximum accuracy, HGB is the clear recommendation. However, if platform resource efficiency and model interpretability are paramount, Ridge Regression remains a competitive alternative with only a minor performance tradeoff.</w:t>
      </w:r>
    </w:p>
    <w:tbl>
      <w:tblPr>
        <w:tblW w:type="auto" w:w="0"/>
        <w:jc w:val="center"/>
        <w:tblLook w:firstColumn="1" w:firstRow="1" w:lastColumn="0" w:lastRow="0" w:noHBand="0" w:noVBand="1" w:val="04A0"/>
      </w:tblPr>
      <w:tblGrid>
        <w:gridCol w:w="9360"/>
      </w:tblGrid>
      <w:tr>
        <w:tc>
          <w:tcPr>
            <w:tcW w:type="dxa" w:w="9360"/>
            <w:shd w:fill="F4F7FA"/>
            <w:tcMar>
              <w:top w:w="140" w:type="dxa"/>
              <w:bottom w:w="140" w:type="dxa"/>
              <w:left w:w="200" w:type="dxa"/>
              <w:right w:w="200" w:type="dxa"/>
            </w:tcMar>
            <w:tcBorders>
              <w:left w:val="single" w:sz="24" w:space="0" w:color="005A9C"/>
              <w:top w:val="none"/>
              <w:right w:val="none"/>
              <w:bottom w:val="none"/>
            </w:tcBorders>
          </w:tcPr>
          <w:p>
            <w:pPr>
              <w:spacing w:before="40" w:after="40"/>
            </w:pPr>
            <w:r>
              <w:rPr>
                <w:rFonts w:ascii="Arial" w:hAnsi="Arial"/>
                <w:b/>
                <w:color w:val="005A9C"/>
                <w:sz w:val="21"/>
              </w:rPr>
              <w:t xml:space="preserve">FINAL RECOMMENDATION: </w:t>
            </w:r>
            <w:r>
              <w:rPr>
                <w:rFonts w:ascii="Arial" w:hAnsi="Arial"/>
                <w:color w:val="222222"/>
                <w:sz w:val="20"/>
              </w:rPr>
              <w:t>HistGradientBoosting is recommended for deployment when maximum accuracy is required. For live pipeline implementation, Envitron should pair the model with a reliable weather forecast API and complement it with spike-detection heuristics for heavy machine loads.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