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Hock vom 31.07.2024</w:t>
      </w:r>
    </w:p>
    <w:p>
      <w:pPr>
        <w:pStyle w:val="Heading1"/>
      </w:pPr>
      <w:r>
        <w:t>E2E Historische Aufgaben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Aufgabe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Feuer</w:t>
            </w:r>
          </w:p>
        </w:tc>
        <w:tc>
          <w:tcPr>
            <w:tcW w:type="dxa" w:w="4320"/>
          </w:tcPr>
          <w:p>
            <w:r>
              <w:t>Zyklusende 2024</w:t>
            </w:r>
          </w:p>
        </w:tc>
      </w:tr>
      <w:tr>
        <w:tc>
          <w:tcPr>
            <w:tcW w:type="dxa" w:w="4320"/>
          </w:tcPr>
          <w:p>
            <w:r>
              <w:t>Küche</w:t>
            </w:r>
          </w:p>
        </w:tc>
        <w:tc>
          <w:tcPr>
            <w:tcW w:type="dxa" w:w="4320"/>
          </w:tcPr>
          <w:p>
            <w:r>
              <w:t>Menü – Zyklusende 2024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