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Hock vom 01.01.2025</w:t>
      </w:r>
    </w:p>
    <w:p>
      <w:pPr>
        <w:pStyle w:val="Heading1"/>
      </w:pPr>
      <w:r>
        <w:t>E2E Historische Aufgaben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Aufgabe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Feuer</w:t>
            </w:r>
          </w:p>
        </w:tc>
        <w:tc>
          <w:tcPr>
            <w:tcW w:type="dxa" w:w="4320"/>
          </w:tcPr>
          <w:p>
            <w:r>
              <w:t>Neujahr 2025</w:t>
            </w:r>
          </w:p>
        </w:tc>
      </w:tr>
      <w:tr>
        <w:tc>
          <w:tcPr>
            <w:tcW w:type="dxa" w:w="4320"/>
          </w:tcPr>
          <w:p>
            <w:r>
              <w:t>Küche</w:t>
            </w:r>
          </w:p>
        </w:tc>
        <w:tc>
          <w:tcPr>
            <w:tcW w:type="dxa" w:w="4320"/>
          </w:tcPr>
          <w:p>
            <w:r>
              <w:t>Menü – Neujahr 2025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