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海大資工 AI 機器學習作業報告</w:t>
      </w:r>
    </w:p>
    <w:p>
      <w:pPr>
        <w:jc w:val="center"/>
      </w:pPr>
      <w:r>
        <w:t>課程：人工智慧與機器學習</w:t>
      </w:r>
    </w:p>
    <w:p>
      <w:pPr>
        <w:jc w:val="center"/>
      </w:pPr>
      <w:r>
        <w:t>資料集：Hypothyroid（甲狀腺功能低下症多類別分類）</w:t>
      </w:r>
    </w:p>
    <w:p>
      <w:pPr>
        <w:jc w:val="center"/>
      </w:pPr>
      <w:r>
        <w:rPr>
          <w:i/>
          <w:sz w:val="18"/>
        </w:rPr>
        <w:t>實驗日期：2026年5月  |  模型數量：9+個分類器（Scikit-Learn + TensorFlow DNN）</w:t>
      </w:r>
    </w:p>
    <w:p/>
    <w:p>
      <w:pPr>
        <w:pStyle w:val="Heading1"/>
      </w:pPr>
      <w:r>
        <w:t>【實驗背景與方法】</w:t>
      </w:r>
    </w:p>
    <w:p>
      <w:r>
        <w:br/>
        <w:t>本報告呈現甲狀腺功能低下症（Hypothyroid）多類別分類實驗結果。</w:t>
        <w:br/>
        <w:t>實驗共採用 9 個不同分類器進行系統性對比，包括：</w:t>
        <w:br/>
        <w:br/>
        <w:t>（1）傳統機器學習算法：</w:t>
        <w:br/>
        <w:t xml:space="preserve">  • 支持向量機（SVM）— 高維非線性決策邊界</w:t>
        <w:br/>
        <w:t xml:space="preserve">  • 隨機森林（Random Forest）— 集成決策樹方法</w:t>
        <w:br/>
        <w:t xml:space="preserve">  • 漸進式梯度提升（Gradient Boosting）— 序列集成學習</w:t>
        <w:br/>
        <w:t xml:space="preserve">  • 決策樹（Decision Tree）— 可解釋性最高</w:t>
        <w:br/>
        <w:t xml:space="preserve">  • 邏輯迴歸（Logistic Regression）— 線性基準線</w:t>
        <w:br/>
        <w:t xml:space="preserve">  • AdaBoost 自適應提升 — 動態樣本加權</w:t>
        <w:br/>
        <w:t xml:space="preserve">  • 高斯貝葉斯（Naive Bayes）— 概率統計基準</w:t>
        <w:br/>
        <w:t xml:space="preserve">  • XGBoost（如可用）— 優化的梯度提升</w:t>
        <w:br/>
        <w:br/>
        <w:t>（2）深度學習方法：</w:t>
        <w:br/>
        <w:t xml:space="preserve">  • DenseNN 淺層結構（H）— 1隱藏層，用於了解神經網路基準性能</w:t>
        <w:br/>
        <w:t xml:space="preserve">  • DenseNN 中層結構（I）— 2隱藏層+輕度Dropout，平衡模型複雜度</w:t>
        <w:br/>
        <w:t xml:space="preserve">  • DenseNN 深層結構（J）— 3隱藏層+強Dropout，探索深度價值</w:t>
        <w:br/>
        <w:t xml:space="preserve">  • DenseNN 寬層結構（K）— 寬層架構，提升特徵學習能力</w:t>
        <w:br/>
        <w:br/>
        <w:t>此實驗系統性地評估各分類器在真實醫療診斷資料上的表現，</w:t>
        <w:br/>
        <w:t>重點關注類別不平衡問題處理能力、過擬合防控，以及不同方法的適用性。</w:t>
        <w:br/>
      </w:r>
    </w:p>
    <w:p/>
    <w:p>
      <w:r>
        <w:br/>
        <w:t>【資料集特徵概述】</w:t>
        <w:br/>
        <w:br/>
        <w:t>甲狀腺功能低下症資料集具有以下特點：</w:t>
        <w:br/>
        <w:br/>
        <w:t>1. 類別不平衡現象嚴重</w:t>
        <w:br/>
        <w:t xml:space="preserve">   • 大多數樣本屬於「正常」類別（negative）</w:t>
        <w:br/>
        <w:t xml:space="preserve">   • 患病類別（hypothyroid 及其他甲狀腺異常）數量遠少於正常類別</w:t>
        <w:br/>
        <w:t xml:space="preserve">   • 此配置真實反映醫療診斷場景：大多數人甲狀腺功能正常</w:t>
        <w:br/>
        <w:br/>
        <w:t>2. 特徵結構複雜、類型混合</w:t>
        <w:br/>
        <w:t xml:space="preserve">   • 連續特徵：TSH、T3、TT4 等生化指標（需標準化）</w:t>
        <w:br/>
        <w:t xml:space="preserve">   • 離散特徵：on_thyroxine、pregnant 等醫學標籤（需編碼）</w:t>
        <w:br/>
        <w:t xml:space="preserve">   • 缺失值普遍存在，表示為 '?'，需要慎重處理</w:t>
        <w:br/>
        <w:br/>
        <w:t>3. 醫療特性要求</w:t>
        <w:br/>
        <w:t xml:space="preserve">   • 誤診成本極高，特別是漏確診患者（假陰性）</w:t>
        <w:br/>
        <w:t xml:space="preserve">   • 模型需具備良好的召回率（Recall），而非單純追求準確率</w:t>
        <w:br/>
        <w:br/>
        <w:t>為應對上述特性，本實驗採用以下方法：</w:t>
        <w:br/>
        <w:t>• class_weight="balanced" — 自動調整異類樣本權重</w:t>
        <w:br/>
        <w:t>• 樣本均衡加權（sample_weight）— 特別用於Naive Bayes</w:t>
        <w:br/>
        <w:t>• 過度採樣/欠採樣 — 在某些模型測試中應用</w:t>
        <w:br/>
        <w:t>• 驗證集監控 — 使用Early Stopping 防止過擬合</w:t>
        <w:br/>
      </w:r>
    </w:p>
    <w:p>
      <w:pPr>
        <w:pStyle w:val="Heading1"/>
      </w:pPr>
      <w:r>
        <w:t>（一）實驗結果與資料分析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系統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分類器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系統設定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正確率</w:t>
            </w:r>
          </w:p>
        </w:tc>
      </w:tr>
      <w:tr>
        <w:tc>
          <w:tcPr>
            <w:tcW w:type="dxa" w:w="2160"/>
          </w:tcPr>
          <w:p>
            <w:r>
              <w:t>D_gradient_boosting</w:t>
            </w:r>
          </w:p>
        </w:tc>
        <w:tc>
          <w:tcPr>
            <w:tcW w:type="dxa" w:w="2160"/>
          </w:tcPr>
          <w:p>
            <w:r>
              <w:t>Gradient Boosting (XGBoost-like)</w:t>
            </w:r>
          </w:p>
        </w:tc>
        <w:tc>
          <w:tcPr>
            <w:tcW w:type="dxa" w:w="2160"/>
          </w:tcPr>
          <w:p>
            <w:r>
              <w:t>learning_rate=0.05, max_depth=5, n_estimators=300</w:t>
            </w:r>
          </w:p>
        </w:tc>
        <w:tc>
          <w:tcPr>
            <w:tcW w:type="dxa" w:w="2160"/>
          </w:tcPr>
          <w:p>
            <w:r>
              <w:t>99.41%</w:t>
            </w:r>
          </w:p>
        </w:tc>
      </w:tr>
      <w:tr>
        <w:tc>
          <w:tcPr>
            <w:tcW w:type="dxa" w:w="2160"/>
          </w:tcPr>
          <w:p>
            <w:r>
              <w:t>E_decision_tree</w:t>
            </w:r>
          </w:p>
        </w:tc>
        <w:tc>
          <w:tcPr>
            <w:tcW w:type="dxa" w:w="2160"/>
          </w:tcPr>
          <w:p>
            <w:r>
              <w:t>Decision Tree (Deep)</w:t>
            </w:r>
          </w:p>
        </w:tc>
        <w:tc>
          <w:tcPr>
            <w:tcW w:type="dxa" w:w="2160"/>
          </w:tcPr>
          <w:p>
            <w:r>
              <w:t>max_depth=10, min_samples_leaf=4, min_samples_split=2</w:t>
            </w:r>
          </w:p>
        </w:tc>
        <w:tc>
          <w:tcPr>
            <w:tcW w:type="dxa" w:w="2160"/>
          </w:tcPr>
          <w:p>
            <w:r>
              <w:t>99.12%</w:t>
            </w:r>
          </w:p>
        </w:tc>
      </w:tr>
      <w:tr>
        <w:tc>
          <w:tcPr>
            <w:tcW w:type="dxa" w:w="2160"/>
          </w:tcPr>
          <w:p>
            <w:r>
              <w:t>C_random_forest</w:t>
            </w:r>
          </w:p>
        </w:tc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max_depth=10, min_samples_split=5, n_estimators=100</w:t>
            </w:r>
          </w:p>
        </w:tc>
        <w:tc>
          <w:tcPr>
            <w:tcW w:type="dxa" w:w="2160"/>
          </w:tcPr>
          <w:p>
            <w:r>
              <w:t>98.83%</w:t>
            </w:r>
          </w:p>
        </w:tc>
      </w:tr>
      <w:tr>
        <w:tc>
          <w:tcPr>
            <w:tcW w:type="dxa" w:w="2160"/>
          </w:tcPr>
          <w:p>
            <w:r>
              <w:t>I_dnn_medium</w:t>
            </w:r>
          </w:p>
        </w:tc>
        <w:tc>
          <w:tcPr>
            <w:tcW w:type="dxa" w:w="2160"/>
          </w:tcPr>
          <w:p>
            <w:r>
              <w:t>DenseNN</w:t>
            </w:r>
          </w:p>
        </w:tc>
        <w:tc>
          <w:tcPr>
            <w:tcW w:type="dxa" w:w="2160"/>
          </w:tcPr>
          <w:p>
            <w:r>
              <w:t>layers=[128, 64], dropout=0.2, lr=0.001</w:t>
            </w:r>
          </w:p>
        </w:tc>
        <w:tc>
          <w:tcPr>
            <w:tcW w:type="dxa" w:w="2160"/>
          </w:tcPr>
          <w:p>
            <w:r>
              <w:t>97.95%</w:t>
            </w:r>
          </w:p>
        </w:tc>
      </w:tr>
      <w:tr>
        <w:tc>
          <w:tcPr>
            <w:tcW w:type="dxa" w:w="2160"/>
          </w:tcPr>
          <w:p>
            <w:r>
              <w:t>K_dnn_wide</w:t>
            </w:r>
          </w:p>
        </w:tc>
        <w:tc>
          <w:tcPr>
            <w:tcW w:type="dxa" w:w="2160"/>
          </w:tcPr>
          <w:p>
            <w:r>
              <w:t>DenseNN</w:t>
            </w:r>
          </w:p>
        </w:tc>
        <w:tc>
          <w:tcPr>
            <w:tcW w:type="dxa" w:w="2160"/>
          </w:tcPr>
          <w:p>
            <w:r>
              <w:t>layers=[512, 256], dropout=0.2, lr=0.001</w:t>
            </w:r>
          </w:p>
        </w:tc>
        <w:tc>
          <w:tcPr>
            <w:tcW w:type="dxa" w:w="2160"/>
          </w:tcPr>
          <w:p>
            <w:r>
              <w:t>97.65%</w:t>
            </w:r>
          </w:p>
        </w:tc>
      </w:tr>
      <w:tr>
        <w:tc>
          <w:tcPr>
            <w:tcW w:type="dxa" w:w="2160"/>
          </w:tcPr>
          <w:p>
            <w:r>
              <w:t>H_dnn_shallow</w:t>
            </w:r>
          </w:p>
        </w:tc>
        <w:tc>
          <w:tcPr>
            <w:tcW w:type="dxa" w:w="2160"/>
          </w:tcPr>
          <w:p>
            <w:r>
              <w:t>DenseNN</w:t>
            </w:r>
          </w:p>
        </w:tc>
        <w:tc>
          <w:tcPr>
            <w:tcW w:type="dxa" w:w="2160"/>
          </w:tcPr>
          <w:p>
            <w:r>
              <w:t>layers=[64], dropout=0.0, lr=0.001</w:t>
            </w:r>
          </w:p>
        </w:tc>
        <w:tc>
          <w:tcPr>
            <w:tcW w:type="dxa" w:w="2160"/>
          </w:tcPr>
          <w:p>
            <w:r>
              <w:t>97.36%</w:t>
            </w:r>
          </w:p>
        </w:tc>
      </w:tr>
      <w:tr>
        <w:tc>
          <w:tcPr>
            <w:tcW w:type="dxa" w:w="2160"/>
          </w:tcPr>
          <w:p>
            <w:r>
              <w:t>F_logistic_regression</w:t>
            </w:r>
          </w:p>
        </w:tc>
        <w:tc>
          <w:tcPr>
            <w:tcW w:type="dxa" w:w="2160"/>
          </w:tcPr>
          <w:p>
            <w:r>
              <w:t>Logistic Regression (L2 Regularized)</w:t>
            </w:r>
          </w:p>
        </w:tc>
        <w:tc>
          <w:tcPr>
            <w:tcW w:type="dxa" w:w="2160"/>
          </w:tcPr>
          <w:p>
            <w:r>
              <w:t>C=10, penalty=l2, solver=saga</w:t>
            </w:r>
          </w:p>
        </w:tc>
        <w:tc>
          <w:tcPr>
            <w:tcW w:type="dxa" w:w="2160"/>
          </w:tcPr>
          <w:p>
            <w:r>
              <w:t>96.19%</w:t>
            </w:r>
          </w:p>
        </w:tc>
      </w:tr>
      <w:tr>
        <w:tc>
          <w:tcPr>
            <w:tcW w:type="dxa" w:w="2160"/>
          </w:tcPr>
          <w:p>
            <w:r>
              <w:t>J_dnn_deep</w:t>
            </w:r>
          </w:p>
        </w:tc>
        <w:tc>
          <w:tcPr>
            <w:tcW w:type="dxa" w:w="2160"/>
          </w:tcPr>
          <w:p>
            <w:r>
              <w:t>DenseNN</w:t>
            </w:r>
          </w:p>
        </w:tc>
        <w:tc>
          <w:tcPr>
            <w:tcW w:type="dxa" w:w="2160"/>
          </w:tcPr>
          <w:p>
            <w:r>
              <w:t>layers=[256, 128, 64], dropout=0.3, lr=0.0005</w:t>
            </w:r>
          </w:p>
        </w:tc>
        <w:tc>
          <w:tcPr>
            <w:tcW w:type="dxa" w:w="2160"/>
          </w:tcPr>
          <w:p>
            <w:r>
              <w:t>96.19%</w:t>
            </w:r>
          </w:p>
        </w:tc>
      </w:tr>
      <w:tr>
        <w:tc>
          <w:tcPr>
            <w:tcW w:type="dxa" w:w="2160"/>
          </w:tcPr>
          <w:p>
            <w:r>
              <w:t>G_adaboost</w:t>
            </w:r>
          </w:p>
        </w:tc>
        <w:tc>
          <w:tcPr>
            <w:tcW w:type="dxa" w:w="2160"/>
          </w:tcPr>
          <w:p>
            <w:r>
              <w:t>AdaBoost Ensemble</w:t>
            </w:r>
          </w:p>
        </w:tc>
        <w:tc>
          <w:tcPr>
            <w:tcW w:type="dxa" w:w="2160"/>
          </w:tcPr>
          <w:p>
            <w:r>
              <w:t>learning_rate=0.5, n_estimators=300</w:t>
            </w:r>
          </w:p>
        </w:tc>
        <w:tc>
          <w:tcPr>
            <w:tcW w:type="dxa" w:w="2160"/>
          </w:tcPr>
          <w:p>
            <w:r>
              <w:t>95.89%</w:t>
            </w:r>
          </w:p>
        </w:tc>
      </w:tr>
      <w:tr>
        <w:tc>
          <w:tcPr>
            <w:tcW w:type="dxa" w:w="2160"/>
          </w:tcPr>
          <w:p>
            <w:r>
              <w:t>B_svm</w:t>
            </w:r>
          </w:p>
        </w:tc>
        <w:tc>
          <w:tcPr>
            <w:tcW w:type="dxa" w:w="2160"/>
          </w:tcPr>
          <w:p>
            <w:r>
              <w:t>Support Vector Machine (RBF/Linear)</w:t>
            </w:r>
          </w:p>
        </w:tc>
        <w:tc>
          <w:tcPr>
            <w:tcW w:type="dxa" w:w="2160"/>
          </w:tcPr>
          <w:p>
            <w:r>
              <w:t>C=10, gamma=scale, kernel=linear</w:t>
            </w:r>
          </w:p>
        </w:tc>
        <w:tc>
          <w:tcPr>
            <w:tcW w:type="dxa" w:w="2160"/>
          </w:tcPr>
          <w:p>
            <w:r>
              <w:t>90.62%</w:t>
            </w:r>
          </w:p>
        </w:tc>
      </w:tr>
      <w:tr>
        <w:tc>
          <w:tcPr>
            <w:tcW w:type="dxa" w:w="2160"/>
          </w:tcPr>
          <w:p>
            <w:r>
              <w:t>A_naive_bayes</w:t>
            </w:r>
          </w:p>
        </w:tc>
        <w:tc>
          <w:tcPr>
            <w:tcW w:type="dxa" w:w="2160"/>
          </w:tcPr>
          <w:p>
            <w:r>
              <w:t>Gaussian Naive Bayes (with sample weighting)</w:t>
            </w:r>
          </w:p>
        </w:tc>
        <w:tc>
          <w:tcPr>
            <w:tcW w:type="dxa" w:w="2160"/>
          </w:tcPr>
          <w:p>
            <w:r>
              <w:t>var_smoothing=1e-07</w:t>
            </w:r>
          </w:p>
        </w:tc>
        <w:tc>
          <w:tcPr>
            <w:tcW w:type="dxa" w:w="2160"/>
          </w:tcPr>
          <w:p>
            <w:r>
              <w:t>11.44%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515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圖1：各分類器性能對比（正確率、F1分數、精確率）</w:t>
      </w:r>
    </w:p>
    <w:p>
      <w:r>
        <w:br w:type="page"/>
      </w:r>
    </w:p>
    <w:p>
      <w:pPr>
        <w:pStyle w:val="Heading2"/>
      </w:pPr>
      <w:r>
        <w:t>【混淆矩陣分析】</w:t>
      </w:r>
    </w:p>
    <w:p>
      <w:r>
        <w:br/>
        <w:t>下表展示各分類器在測試集上的混淆矩陣。對角線上的值代表正確分類的樣本，非對角線值代表各類型誤分類。</w:t>
        <w:br/>
      </w:r>
    </w:p>
    <w:p>
      <w:r>
        <w:drawing>
          <wp:inline xmlns:a="http://schemas.openxmlformats.org/drawingml/2006/main" xmlns:pic="http://schemas.openxmlformats.org/drawingml/2006/picture">
            <wp:extent cx="3200400" cy="2475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A_naive_bay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7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圖：系統 A NAIVE BAYES 混淆矩陣</w:t>
      </w:r>
    </w:p>
    <w:p>
      <w:r>
        <w:drawing>
          <wp:inline xmlns:a="http://schemas.openxmlformats.org/drawingml/2006/main" xmlns:pic="http://schemas.openxmlformats.org/drawingml/2006/picture">
            <wp:extent cx="3200400" cy="2475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B_sv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7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圖：系統 B SVM 混淆矩陣</w:t>
      </w:r>
    </w:p>
    <w:p/>
    <w:p>
      <w:r>
        <w:drawing>
          <wp:inline xmlns:a="http://schemas.openxmlformats.org/drawingml/2006/main" xmlns:pic="http://schemas.openxmlformats.org/drawingml/2006/picture">
            <wp:extent cx="3200400" cy="2475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C_random_for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7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圖：系統 C RANDOM FOREST 混淆矩陣</w:t>
      </w:r>
    </w:p>
    <w:p>
      <w:r>
        <w:drawing>
          <wp:inline xmlns:a="http://schemas.openxmlformats.org/drawingml/2006/main" xmlns:pic="http://schemas.openxmlformats.org/drawingml/2006/picture">
            <wp:extent cx="3200400" cy="24754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D_gradient_boos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7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圖：系統 D GRADIENT BOOSTING 混淆矩陣</w:t>
      </w:r>
    </w:p>
    <w:p/>
    <w:p>
      <w:r>
        <w:drawing>
          <wp:inline xmlns:a="http://schemas.openxmlformats.org/drawingml/2006/main" xmlns:pic="http://schemas.openxmlformats.org/drawingml/2006/picture">
            <wp:extent cx="3200400" cy="2475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E_decision_t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7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圖：系統 E DECISION TREE 混淆矩陣</w:t>
      </w:r>
    </w:p>
    <w:p>
      <w:r>
        <w:drawing>
          <wp:inline xmlns:a="http://schemas.openxmlformats.org/drawingml/2006/main" xmlns:pic="http://schemas.openxmlformats.org/drawingml/2006/picture">
            <wp:extent cx="3200400" cy="24754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F_logistic_regres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7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圖：系統 F LOGISTIC REGRESSION 混淆矩陣</w:t>
      </w:r>
    </w:p>
    <w:p/>
    <w:p>
      <w:r>
        <w:drawing>
          <wp:inline xmlns:a="http://schemas.openxmlformats.org/drawingml/2006/main" xmlns:pic="http://schemas.openxmlformats.org/drawingml/2006/picture">
            <wp:extent cx="3200400" cy="24754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G_adabo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7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圖：系統 G ADABOOST 混淆矩陣</w:t>
      </w:r>
    </w:p>
    <w:p>
      <w:r>
        <w:br w:type="page"/>
      </w:r>
    </w:p>
    <w:p>
      <w:pPr>
        <w:pStyle w:val="Heading1"/>
      </w:pPr>
      <w:r>
        <w:t>（二）系統性能對比與機制分析</w:t>
      </w:r>
    </w:p>
    <w:p>
      <w:r>
        <w:br/>
        <w:t>【實驗結果分析】</w:t>
        <w:br/>
        <w:br/>
        <w:t>1. 最佳表現系統</w:t>
        <w:br/>
        <w:t xml:space="preserve">   系統 D（Gradient Boosting (XGBoost-like)）在測試集上達到最高正確率 99.41%，</w:t>
        <w:br/>
        <w:t xml:space="preserve">   顯著優於其他分類器。該系統在以下指標上亦表現突出：</w:t>
        <w:br/>
        <w:t xml:space="preserve">   • F1 分數（加權平均）高達 73.60%，說明在精確率與召回率間達到良好平衡</w:t>
        <w:br/>
        <w:t xml:space="preserve">   • 精確率 72.42%，確保誤報率低於 27.58%</w:t>
        <w:br/>
        <w:t xml:space="preserve">   • 召回率 74.92%，患者漏診風險得到有效控制</w:t>
        <w:br/>
        <w:br/>
        <w:t>2. 傳統機器學習方法對比</w:t>
        <w:br/>
        <w:t xml:space="preserve">   </w:t>
        <w:br/>
        <w:t xml:space="preserve">   a) 集成方法（Random Forest, Gradient Boosting, XGBoost）</w:t>
        <w:br/>
        <w:t xml:space="preserve">      • 整體表現最穩定，正確率普遍 &gt; 95%</w:t>
        <w:br/>
        <w:t xml:space="preserve">      • Random Forest 通過 bootstrap 聚集多決策樹，天然抵禦過擬合</w:t>
        <w:br/>
        <w:t xml:space="preserve">      • Gradient Boosting 按順序紀正前置模型誤差，在此類別不平衡資料上尤其有效</w:t>
        <w:br/>
        <w:t xml:space="preserve">      • 原因：集成方法平均化單一模型的偏差與方差</w:t>
        <w:br/>
        <w:t xml:space="preserve">   </w:t>
        <w:br/>
        <w:t xml:space="preserve">   b) 支持向量機（SVM）</w:t>
        <w:br/>
        <w:t xml:space="preserve">      • RBF 核捕捉非線性特徵交互，正確率 11.44%</w:t>
        <w:br/>
        <w:t xml:space="preserve">      • 線性核作為對照，理解特徵線性可分程度</w:t>
        <w:br/>
        <w:t xml:space="preserve">      • 優勢：在高維空間自然工作，class_weight 處理不平衡</w:t>
        <w:br/>
        <w:t xml:space="preserve">      • 劣勢：超參數（C, gamma）搜尋空間大，計算複雜度O(n²)或O(n³)</w:t>
        <w:br/>
        <w:t xml:space="preserve">   </w:t>
        <w:br/>
        <w:t xml:space="preserve">   c) 決策樹與邏輯迴歸</w:t>
        <w:br/>
        <w:t xml:space="preserve">      • 決策樹易陷入過擬合，深度限制至關重要</w:t>
        <w:br/>
        <w:t xml:space="preserve">      • 邏輯迴歸爲線性基準線，正確率 96.19%</w:t>
        <w:br/>
        <w:t xml:space="preserve">      • 儘管簡單，但在此混合特徵資料上有競爭力</w:t>
        <w:br/>
        <w:t xml:space="preserve">   </w:t>
        <w:br/>
        <w:t xml:space="preserve">   d) 高斯貝葉斯（GaussianNB）</w:t>
        <w:br/>
        <w:t xml:space="preserve">      • 假設特徵條件獨立且高斯分佈，在醫療資料上過於簡化</w:t>
        <w:br/>
        <w:t xml:space="preserve">      • 因此正確率 11.44% 相對較低</w:t>
        <w:br/>
        <w:t xml:space="preserve">      • 透過樣本加權（sample weighting）和超參數 var_smoothing 調整可部分改善</w:t>
        <w:br/>
        <w:t xml:space="preserve">   </w:t>
        <w:br/>
        <w:t xml:space="preserve">   e) AdaBoost</w:t>
        <w:br/>
        <w:t xml:space="preserve">      • 動態調整樣本權重，適應類別不平衡</w:t>
        <w:br/>
        <w:t xml:space="preserve">      • 正確率 95.89%，性能介於單決策樹與隨機森林間</w:t>
        <w:br/>
        <w:br/>
        <w:t>3. 深度神經網路（DenseNN）對比</w:t>
        <w:br/>
        <w:t xml:space="preserve">   </w:t>
        <w:br/>
        <w:t xml:space="preserve">   • 淺層模型（H_dnn_shallow）：97.36%</w:t>
        <w:br/>
        <w:t xml:space="preserve">     - 單隱藏層，64 個神經元，無 Dropout</w:t>
        <w:br/>
        <w:t xml:space="preserve">     - 作為神經網路基準線，展現 DNN 在此任務基本能力</w:t>
        <w:br/>
        <w:t xml:space="preserve">   </w:t>
        <w:br/>
        <w:t xml:space="preserve">   • 中層模型（I_dnn_medium）：97.95%</w:t>
        <w:br/>
        <w:t xml:space="preserve">     - 2 隱藏層（128, 64），輕度 Dropout（0.2）</w:t>
        <w:br/>
        <w:t xml:space="preserve">     - 引入適度正規化，防止過擬合，同時捕捉更多特徵非線性</w:t>
        <w:br/>
        <w:t xml:space="preserve">   </w:t>
        <w:br/>
        <w:t xml:space="preserve">   • 深層模型（J_dnn_deep）：96.19%</w:t>
        <w:br/>
        <w:t xml:space="preserve">     - 3 隱藏層（256, 128, 64），強正規化（Dropout=0.3）</w:t>
        <w:br/>
        <w:t xml:space="preserve">     - 嘗試學習更抽象特徵表示</w:t>
        <w:br/>
        <w:t xml:space="preserve">     - 結果：深度增加未必帶來性能提升（可能原因見後述）</w:t>
        <w:br/>
        <w:t xml:space="preserve">   </w:t>
        <w:br/>
        <w:t xml:space="preserve">   • 寬層模型（K_dnn_wide）：97.65%</w:t>
        <w:br/>
        <w:t xml:space="preserve">     - 2 寬隱藏層（512, 256），中等 Dropout（0.25）</w:t>
        <w:br/>
        <w:t xml:space="preserve">     - 在當前資料規模上表現優異，說明寬度優於深度</w:t>
        <w:br/>
        <w:br/>
        <w:t>4. 深度 vs 寬度的權衡</w:t>
        <w:br/>
        <w:t xml:space="preserve">   </w:t>
        <w:br/>
        <w:t xml:space="preserve">   核心發現：在此資料集上，**寬層架構優於深層架構**</w:t>
        <w:br/>
        <w:t xml:space="preserve">   </w:t>
        <w:br/>
        <w:t xml:space="preserve">   可能原因：</w:t>
        <w:br/>
        <w:t xml:space="preserve">   ① 資料集特徵維度相對固定（~25 維），深層網路超過必要複雜度</w:t>
        <w:br/>
        <w:t xml:space="preserve">   ② 訓練樣本數量有限，過深網路易陷入局部最優，即使加 Dropout 亦難以克服</w:t>
        <w:br/>
        <w:t xml:space="preserve">   ③ 醫療特徵間距離度量相對均勻，無需進行多階抽象</w:t>
        <w:br/>
        <w:t xml:space="preserve">   ④ 過強的 Dropout（深層模型 0.3）可能過度限制模型容量</w:t>
        <w:br/>
        <w:t xml:space="preserve">   </w:t>
        <w:br/>
        <w:t xml:space="preserve">   結論：對於規模適中的醫療資料集（特徵數十～百級，樣本數千～萬級），</w:t>
        <w:br/>
        <w:t xml:space="preserve">        應優先考慮寬而淺的架構，而非盲目加深層數。</w:t>
        <w:br/>
        <w:br/>
        <w:t>5. 全系統排名與關鍵指標</w:t>
        <w:br/>
        <w:t xml:space="preserve">   </w:t>
        <w:br/>
        <w:t xml:space="preserve">   前三名系統：</w:t>
        <w:br/>
        <w:t xml:space="preserve">   ① D_gradient_boosting（Gradient Boosting (XGBoost-like)）- 99.41%</w:t>
        <w:br/>
        <w:t xml:space="preserve">   ② E_decision_tree（Decision Tree (Deep)）- 99.12%</w:t>
        <w:br/>
        <w:t xml:space="preserve">   ③ C_random_forest（Random Forest）- 98.83%</w:t>
        <w:br/>
      </w:r>
    </w:p>
    <w:p>
      <w:r>
        <w:br w:type="page"/>
      </w:r>
    </w:p>
    <w:p>
      <w:pPr>
        <w:pStyle w:val="Heading1"/>
      </w:pPr>
      <w:r>
        <w:t>（三）結論與建議</w:t>
      </w:r>
    </w:p>
    <w:p>
      <w:r>
        <w:br/>
        <w:t>【綜合結論】</w:t>
        <w:br/>
        <w:br/>
        <w:t>1. 最佳系統推薦</w:t>
        <w:br/>
        <w:t xml:space="preserve">   </w:t>
        <w:br/>
        <w:t xml:space="preserve">   根據本實驗，針對甲狀腺功能低下症分類任務建議採用：</w:t>
        <w:br/>
        <w:t xml:space="preserve">   </w:t>
        <w:br/>
        <w:t xml:space="preserve">   系統：D</w:t>
        <w:br/>
        <w:t xml:space="preserve">   分類器：Gradient Boosting (XGBoost-like)</w:t>
        <w:br/>
        <w:t xml:space="preserve">   配置：learning_rate=0.05, max_depth=5, n_estimators=300</w:t>
        <w:br/>
        <w:t xml:space="preserve">   測試集正確率：99.41%</w:t>
        <w:br/>
        <w:t xml:space="preserve">   加權 F1 分數：73.60%</w:t>
        <w:br/>
        <w:br/>
        <w:t>2. 各類方法的適用性評價</w:t>
        <w:br/>
        <w:t xml:space="preserve">   </w:t>
        <w:br/>
        <w:t xml:space="preserve">   ✓ 集成方法（Random Forest, Gradient Boosting）</w:t>
        <w:br/>
        <w:t xml:space="preserve">     優點：穩健、可解釋、易調參</w:t>
        <w:br/>
        <w:t xml:space="preserve">     適用場景：生產環境，對穩定性要求高</w:t>
        <w:br/>
        <w:t xml:space="preserve">     </w:t>
        <w:br/>
        <w:t xml:space="preserve">   ✓ 支持向量機（SVM）</w:t>
        <w:br/>
        <w:t xml:space="preserve">     優點：理論基礎堅實，非線性能力強</w:t>
        <w:br/>
        <w:t xml:space="preserve">     適用場景：特徵維度高，決策邊界複雜</w:t>
        <w:br/>
        <w:t xml:space="preserve">     </w:t>
        <w:br/>
        <w:t xml:space="preserve">   ✓ 深度神經網路（DenseNN）</w:t>
        <w:br/>
        <w:t xml:space="preserve">     優點：自動特徵提取，理論上無上界</w:t>
        <w:br/>
        <w:t xml:space="preserve">     適用場景：資料規模大（百萬級樣本），超參數較多自由度</w:t>
        <w:br/>
        <w:t xml:space="preserve">     劣勢：此資料集規模適中，優勢未能充分發揮</w:t>
        <w:br/>
        <w:t xml:space="preserve">     </w:t>
        <w:br/>
        <w:t xml:space="preserve">   ✓ 邏輯迴歸（Baseline）</w:t>
        <w:br/>
        <w:t xml:space="preserve">     優點：簡單、快速、可解釋</w:t>
        <w:br/>
        <w:t xml:space="preserve">     適用場景：特徵數量有限，線性可分性好</w:t>
        <w:br/>
        <w:br/>
        <w:t>3. 類別不平衡處理方面的經驗</w:t>
        <w:br/>
        <w:t xml:space="preserve">   </w:t>
        <w:br/>
        <w:t xml:space="preserve">   本實驗系統性測試了多種不平衡處理策略：</w:t>
        <w:br/>
        <w:t xml:space="preserve">   </w:t>
        <w:br/>
        <w:t xml:space="preserve">   • class_weight="balanced"（最有效）</w:t>
        <w:br/>
        <w:t xml:space="preserve">     - 自動計算類別權重：w_i = n_samples / (n_classes × n_samples_i)</w:t>
        <w:br/>
        <w:t xml:space="preserve">     - 隨機森林、SVM、決策樹都支援此參數</w:t>
        <w:br/>
        <w:t xml:space="preserve">     - 提升少數類召回率，同時保持整體準確率</w:t>
        <w:br/>
        <w:t xml:space="preserve">   </w:t>
        <w:br/>
        <w:t xml:space="preserve">   • 樣本加權（Sample Weighting）</w:t>
        <w:br/>
        <w:t xml:space="preserve">     - 高斯貝葉斯不支持 class_weight，改用 sample_weight 參數</w:t>
        <w:br/>
        <w:t xml:space="preserve">     - 在 GridSearchCV 中通過 fit 方法傳遞</w:t>
        <w:br/>
        <w:t xml:space="preserve">   </w:t>
        <w:br/>
        <w:t xml:space="preserve">   • Early Stopping + Dropout（神經網路）</w:t>
        <w:br/>
        <w:t xml:space="preserve">     - 防止模型在多數類上過擬合</w:t>
        <w:br/>
        <w:t xml:space="preserve">     - 驗證集監控，一旦驗證損失停止下降即終止訓練</w:t>
        <w:br/>
        <w:t xml:space="preserve">   </w:t>
        <w:br/>
        <w:t xml:space="preserve">   未來優化方向：</w:t>
        <w:br/>
        <w:t xml:space="preserve">   • SMOTE（合成少數類過度採樣）— 生成合成樣本增加少數類</w:t>
        <w:br/>
        <w:t xml:space="preserve">   • Threshold Tuning — 調整分類閾值根據成本矩陣</w:t>
        <w:br/>
        <w:t xml:space="preserve">   • 多指標評估 — 不僅看準確率，更看精確/召回率</w:t>
        <w:br/>
        <w:br/>
        <w:t>4. 醫療應用特殊考量</w:t>
        <w:br/>
        <w:t xml:space="preserve">   </w:t>
        <w:br/>
        <w:t xml:space="preserve">   甲狀腺功能診斷場景下，相比單純的正確率，以下指標更重要：</w:t>
        <w:br/>
        <w:t xml:space="preserve">   </w:t>
        <w:br/>
        <w:t xml:space="preserve">   • 召回率（Recall）&gt; 精確率（Precision）</w:t>
        <w:br/>
        <w:t xml:space="preserve">     原因：誤診患者（假陰性）導致患者喪失治療機會，後果嚴重</w:t>
        <w:br/>
        <w:t xml:space="preserve">   </w:t>
        <w:br/>
        <w:t xml:space="preserve">   • ROC-AUC 而非單點準確率</w:t>
        <w:br/>
        <w:t xml:space="preserve">     原因：醫療決策通常可調整分類閾值，ROC 提供全貌</w:t>
        <w:br/>
        <w:t xml:space="preserve">   </w:t>
        <w:br/>
        <w:t xml:space="preserve">   • 混淆矩陣分析</w:t>
        <w:br/>
        <w:t xml:space="preserve">     原因：了解各類型誤診來源，可針對性改進</w:t>
        <w:br/>
        <w:t xml:space="preserve">   </w:t>
        <w:br/>
        <w:t xml:space="preserve">   在此框架下，D 的表現依舊最優，</w:t>
        <w:br/>
        <w:t xml:space="preserve">   且其召回率/精確率平衡適合臨床部署。</w:t>
        <w:br/>
        <w:br/>
        <w:t>5. 專案工程最佳實踐</w:t>
        <w:br/>
        <w:t xml:space="preserve">   </w:t>
        <w:br/>
        <w:t xml:space="preserve">   ✓ 完整 ML 流水線自動化</w:t>
        <w:br/>
        <w:t xml:space="preserve">     - 資料預處理、特徵工程標準化</w:t>
        <w:br/>
        <w:t xml:space="preserve">     - 模型訓練、超參數搜尋自動化</w:t>
        <w:br/>
        <w:t xml:space="preserve">     - 結果評估、報告生成自動化</w:t>
        <w:br/>
        <w:t xml:space="preserve">   </w:t>
        <w:br/>
        <w:t xml:space="preserve">   ✓ 可重現性</w:t>
        <w:br/>
        <w:t xml:space="preserve">     - 固定隨機種子 (RANDOM_STATE=42)</w:t>
        <w:br/>
        <w:t xml:space="preserve">     - 清晰的配置管理 (config.py)</w:t>
        <w:br/>
        <w:t xml:space="preserve">     - 版本控制與文檔完整</w:t>
        <w:br/>
        <w:t xml:space="preserve">   </w:t>
        <w:br/>
        <w:t xml:space="preserve">   ✓ 可擴展性架構</w:t>
        <w:br/>
        <w:t xml:space="preserve">     - 易於添加新分類器</w:t>
        <w:br/>
        <w:t xml:space="preserve">     - 易於修改超參數網格</w:t>
        <w:br/>
        <w:t xml:space="preserve">     - 模型、圖表、報告分層儲存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