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6AE68">
      <w:pPr>
        <w:spacing w:before="312" w:beforeLines="100"/>
        <w:ind w:firstLine="1785" w:firstLineChars="850"/>
        <w:rPr>
          <w:b/>
          <w:sz w:val="32"/>
          <w:szCs w:val="32"/>
        </w:rPr>
      </w:pPr>
      <w:r>
        <w:rPr>
          <w:color w:val="003399"/>
        </w:rPr>
        <w:drawing>
          <wp:anchor distT="0" distB="0" distL="114300" distR="114300" simplePos="0" relativeHeight="251659264" behindDoc="0" locked="0" layoutInCell="1" allowOverlap="1">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50595" cy="950595"/>
                    </a:xfrm>
                    <a:prstGeom prst="rect">
                      <a:avLst/>
                    </a:prstGeom>
                    <a:noFill/>
                    <a:ln>
                      <a:noFill/>
                    </a:ln>
                  </pic:spPr>
                </pic:pic>
              </a:graphicData>
            </a:graphic>
          </wp:anchor>
        </w:drawing>
      </w:r>
      <w:r>
        <w:rPr>
          <w:rFonts w:hint="eastAsia"/>
          <w:b/>
          <w:color w:val="003399"/>
          <w:sz w:val="32"/>
          <w:szCs w:val="32"/>
        </w:rPr>
        <w:t>中心科学实验III课程</w:t>
      </w:r>
    </w:p>
    <w:p w14:paraId="7EBDD1F9">
      <w:pPr>
        <w:adjustRightInd w:val="0"/>
        <w:snapToGrid w:val="0"/>
        <w:spacing w:before="624" w:beforeLines="200"/>
        <w:ind w:firstLine="1524" w:firstLineChars="345"/>
        <w:rPr>
          <w:rFonts w:hint="eastAsia" w:ascii="宋体" w:hAnsi="宋体"/>
          <w:b/>
          <w:color w:val="003399"/>
          <w:sz w:val="44"/>
          <w:szCs w:val="44"/>
        </w:rPr>
      </w:pPr>
      <w:r>
        <w:rPr>
          <w:rFonts w:hint="eastAsia" w:ascii="宋体" w:hAnsi="宋体"/>
          <w:b/>
          <w:color w:val="003399"/>
          <w:sz w:val="44"/>
          <w:szCs w:val="44"/>
        </w:rPr>
        <w:t>实   验   报   告</w:t>
      </w:r>
    </w:p>
    <w:p w14:paraId="17B0430C">
      <w:pPr>
        <w:tabs>
          <w:tab w:val="left" w:pos="3752"/>
          <w:tab w:val="clear" w:pos="8820"/>
        </w:tabs>
        <w:adjustRightInd w:val="0"/>
        <w:snapToGrid w:val="0"/>
        <w:spacing w:before="624" w:beforeLines="200" w:line="360" w:lineRule="auto"/>
        <w:jc w:val="left"/>
        <w:rPr>
          <w:rFonts w:hint="default" w:eastAsiaTheme="minorEastAsia"/>
          <w:b/>
          <w:bCs/>
          <w:color w:val="003399"/>
          <w:sz w:val="24"/>
          <w:lang w:val="en-US" w:eastAsia="zh-CN"/>
        </w:rPr>
        <w:sectPr>
          <w:footerReference r:id="rId5" w:type="default"/>
          <w:footerReference r:id="rId6" w:type="even"/>
          <w:type w:val="continuous"/>
          <w:pgSz w:w="11907" w:h="16840"/>
          <w:pgMar w:top="851" w:right="851" w:bottom="851" w:left="1418" w:header="851" w:footer="357" w:gutter="0"/>
          <w:cols w:space="720" w:num="1"/>
          <w:docGrid w:type="lines" w:linePitch="312" w:charSpace="0"/>
        </w:sectPr>
      </w:pPr>
      <w:r>
        <w:rPr>
          <w:rFonts w:eastAsiaTheme="minorEastAsia"/>
          <w:b/>
          <w:bCs/>
          <w:color w:val="003399"/>
          <w:sz w:val="24"/>
        </w:rPr>
        <w:t>实验题目：</w:t>
      </w:r>
      <w:r>
        <w:rPr>
          <w:rFonts w:hint="eastAsia" w:eastAsiaTheme="minorEastAsia"/>
          <w:b/>
          <w:bCs/>
          <w:color w:val="003399"/>
          <w:sz w:val="24"/>
          <w:lang w:val="en-US" w:eastAsia="zh-CN"/>
        </w:rPr>
        <w:t>单晶X射线衍射法</w:t>
      </w:r>
    </w:p>
    <w:p w14:paraId="518ABA5B">
      <w:pPr>
        <w:tabs>
          <w:tab w:val="left" w:pos="3752"/>
          <w:tab w:val="clear" w:pos="8820"/>
        </w:tabs>
        <w:spacing w:line="360" w:lineRule="auto"/>
        <w:jc w:val="left"/>
        <w:rPr>
          <w:rFonts w:hint="eastAsia" w:eastAsiaTheme="minorEastAsia"/>
          <w:b/>
          <w:bCs/>
          <w:color w:val="003399"/>
          <w:sz w:val="24"/>
          <w:lang w:val="en-US" w:eastAsia="zh-CN"/>
        </w:rPr>
      </w:pPr>
      <w:r>
        <w:rPr>
          <w:rFonts w:eastAsiaTheme="minorEastAsia"/>
          <w:b/>
          <w:bCs/>
          <w:color w:val="003399"/>
          <w:sz w:val="24"/>
        </w:rPr>
        <w:t>专    业：</w:t>
      </w:r>
      <w:r>
        <w:rPr>
          <w:rFonts w:hint="eastAsia" w:eastAsiaTheme="minorEastAsia"/>
          <w:b/>
          <w:bCs/>
          <w:color w:val="003399"/>
          <w:sz w:val="24"/>
          <w:lang w:val="en-US" w:eastAsia="zh-CN"/>
        </w:rPr>
        <w:t>化学类</w:t>
      </w:r>
    </w:p>
    <w:p w14:paraId="0CEA30DF">
      <w:pPr>
        <w:tabs>
          <w:tab w:val="left" w:pos="3752"/>
          <w:tab w:val="clear" w:pos="8820"/>
        </w:tabs>
        <w:spacing w:line="360" w:lineRule="auto"/>
        <w:jc w:val="left"/>
        <w:rPr>
          <w:rFonts w:hint="eastAsia" w:eastAsiaTheme="minorEastAsia"/>
          <w:b/>
          <w:bCs/>
          <w:color w:val="003399"/>
          <w:sz w:val="24"/>
          <w:lang w:val="en-US" w:eastAsia="zh-CN"/>
        </w:rPr>
      </w:pPr>
      <w:r>
        <w:rPr>
          <w:rFonts w:hint="eastAsia" w:eastAsiaTheme="minorEastAsia"/>
          <w:b/>
          <w:bCs/>
          <w:color w:val="003399"/>
          <w:sz w:val="24"/>
        </w:rPr>
        <w:t>姓    名</w:t>
      </w:r>
      <w:r>
        <w:rPr>
          <w:rFonts w:eastAsiaTheme="minorEastAsia"/>
          <w:b/>
          <w:bCs/>
          <w:color w:val="003399"/>
          <w:sz w:val="24"/>
        </w:rPr>
        <w:t>：</w:t>
      </w:r>
      <w:r>
        <w:rPr>
          <w:rFonts w:hint="eastAsia" w:eastAsiaTheme="minorEastAsia"/>
          <w:b/>
          <w:bCs/>
          <w:color w:val="003399"/>
          <w:sz w:val="24"/>
          <w:lang w:val="en-US" w:eastAsia="zh-CN"/>
        </w:rPr>
        <w:t>许耀宗</w:t>
      </w:r>
    </w:p>
    <w:p w14:paraId="15183B4E">
      <w:pPr>
        <w:tabs>
          <w:tab w:val="left" w:pos="3752"/>
          <w:tab w:val="clear" w:pos="8820"/>
        </w:tabs>
        <w:spacing w:line="360" w:lineRule="auto"/>
        <w:jc w:val="left"/>
        <w:rPr>
          <w:rFonts w:eastAsiaTheme="minorEastAsia"/>
          <w:b/>
          <w:bCs/>
          <w:color w:val="003399"/>
          <w:sz w:val="24"/>
        </w:rPr>
      </w:pPr>
      <w:r>
        <w:rPr>
          <w:rFonts w:eastAsiaTheme="minorEastAsia"/>
          <w:b/>
          <w:bCs/>
          <w:color w:val="003399"/>
          <w:sz w:val="24"/>
        </w:rPr>
        <w:t>指导教师：</w:t>
      </w:r>
      <w:r>
        <w:rPr>
          <w:rFonts w:hint="eastAsia" w:eastAsiaTheme="minorEastAsia"/>
          <w:b/>
          <w:bCs/>
          <w:color w:val="003399"/>
          <w:sz w:val="24"/>
          <w:lang w:val="en-US" w:eastAsia="zh-CN"/>
        </w:rPr>
        <w:t>魏赞斌</w:t>
      </w:r>
    </w:p>
    <w:p w14:paraId="4F9A27E2">
      <w:pPr>
        <w:tabs>
          <w:tab w:val="left" w:pos="3752"/>
          <w:tab w:val="clear" w:pos="8820"/>
        </w:tabs>
        <w:spacing w:line="360" w:lineRule="auto"/>
        <w:jc w:val="left"/>
        <w:rPr>
          <w:rFonts w:hint="default" w:eastAsiaTheme="minorEastAsia"/>
          <w:b/>
          <w:bCs/>
          <w:color w:val="003399"/>
          <w:sz w:val="24"/>
          <w:lang w:val="en-US" w:eastAsia="zh-CN"/>
        </w:rPr>
      </w:pPr>
      <w:r>
        <w:rPr>
          <w:rFonts w:eastAsiaTheme="minorEastAsia"/>
          <w:b/>
          <w:bCs/>
          <w:color w:val="003399"/>
          <w:sz w:val="24"/>
        </w:rPr>
        <w:t>组    别：</w:t>
      </w:r>
      <w:r>
        <w:rPr>
          <w:rFonts w:hint="eastAsia" w:eastAsiaTheme="minorEastAsia"/>
          <w:b/>
          <w:bCs/>
          <w:color w:val="003399"/>
          <w:sz w:val="24"/>
          <w:lang w:val="en-US" w:eastAsia="zh-CN"/>
        </w:rPr>
        <w:t>第3组</w:t>
      </w:r>
    </w:p>
    <w:p w14:paraId="12E691CB">
      <w:pPr>
        <w:tabs>
          <w:tab w:val="left" w:pos="3752"/>
          <w:tab w:val="clear" w:pos="8820"/>
        </w:tabs>
        <w:spacing w:line="360" w:lineRule="auto"/>
        <w:jc w:val="left"/>
        <w:rPr>
          <w:rFonts w:hint="default" w:eastAsiaTheme="minorEastAsia"/>
          <w:b/>
          <w:bCs/>
          <w:color w:val="003399"/>
          <w:sz w:val="24"/>
          <w:lang w:val="en-US" w:eastAsia="zh-CN"/>
        </w:rPr>
      </w:pPr>
      <w:r>
        <w:rPr>
          <w:rFonts w:eastAsiaTheme="minorEastAsia"/>
          <w:b/>
          <w:bCs/>
          <w:color w:val="003399"/>
          <w:sz w:val="24"/>
        </w:rPr>
        <w:t>学    号：</w:t>
      </w:r>
      <w:r>
        <w:rPr>
          <w:rFonts w:hint="eastAsia" w:eastAsiaTheme="minorEastAsia"/>
          <w:b/>
          <w:bCs/>
          <w:color w:val="003399"/>
          <w:sz w:val="24"/>
          <w:lang w:val="en-US" w:eastAsia="zh-CN"/>
        </w:rPr>
        <w:t>20420242201512</w:t>
      </w:r>
    </w:p>
    <w:p w14:paraId="20DB87F5">
      <w:pPr>
        <w:tabs>
          <w:tab w:val="left" w:pos="3752"/>
          <w:tab w:val="clear" w:pos="8820"/>
        </w:tabs>
        <w:spacing w:line="360" w:lineRule="auto"/>
        <w:jc w:val="left"/>
        <w:rPr>
          <w:rFonts w:hint="default" w:eastAsiaTheme="minorEastAsia"/>
          <w:b/>
          <w:color w:val="0070C0"/>
          <w:sz w:val="24"/>
          <w:lang w:val="en-US" w:eastAsia="zh-CN"/>
        </w:rPr>
        <w:sectPr>
          <w:type w:val="continuous"/>
          <w:pgSz w:w="11907" w:h="16840"/>
          <w:pgMar w:top="851" w:right="851" w:bottom="851" w:left="1418" w:header="851" w:footer="357" w:gutter="0"/>
          <w:cols w:space="420" w:num="2"/>
          <w:docGrid w:type="lines" w:linePitch="312" w:charSpace="0"/>
        </w:sectPr>
      </w:pPr>
      <w:r>
        <w:rPr>
          <w:rFonts w:eastAsiaTheme="minorEastAsia"/>
          <w:b/>
          <w:bCs/>
          <w:color w:val="003399"/>
          <w:sz w:val="24"/>
        </w:rPr>
        <w:t>实验日期：</w:t>
      </w:r>
      <w:r>
        <w:rPr>
          <w:rFonts w:hint="eastAsia" w:eastAsiaTheme="minorEastAsia"/>
          <w:b/>
          <w:bCs/>
          <w:color w:val="003399"/>
          <w:sz w:val="24"/>
          <w:lang w:val="en-US" w:eastAsia="zh-CN"/>
        </w:rPr>
        <w:t>2025年10月24日</w:t>
      </w:r>
    </w:p>
    <w:p w14:paraId="6BD38A76">
      <w:pPr>
        <w:pStyle w:val="14"/>
        <w:spacing w:before="312"/>
      </w:pPr>
      <w:r>
        <w:rPr>
          <w:rFonts w:hint="eastAsia"/>
        </w:rPr>
        <w:t>1 实验目的</w:t>
      </w:r>
    </w:p>
    <w:p w14:paraId="44F73AD9">
      <w:pPr>
        <w:pStyle w:val="11"/>
        <w:numPr>
          <w:ilvl w:val="0"/>
          <w:numId w:val="2"/>
        </w:numPr>
        <w:ind w:left="0" w:leftChars="0" w:firstLine="400" w:firstLineChars="0"/>
      </w:pPr>
      <w:r>
        <w:rPr>
          <w:rFonts w:hint="eastAsia"/>
          <w:lang w:val="en-US" w:eastAsia="zh-CN"/>
        </w:rPr>
        <w:t>理解单晶X射线衍射法的基本原理</w:t>
      </w:r>
    </w:p>
    <w:p w14:paraId="40911C03">
      <w:pPr>
        <w:pStyle w:val="11"/>
        <w:numPr>
          <w:ilvl w:val="0"/>
          <w:numId w:val="2"/>
        </w:numPr>
        <w:ind w:left="0" w:leftChars="0" w:firstLine="400" w:firstLineChars="0"/>
      </w:pPr>
      <w:r>
        <w:rPr>
          <w:rFonts w:hint="eastAsia"/>
          <w:lang w:val="en-US" w:eastAsia="zh-CN"/>
        </w:rPr>
        <w:t>理解通过X射线衍射法进行晶胞参数测定的原理</w:t>
      </w:r>
    </w:p>
    <w:p w14:paraId="398848C4">
      <w:pPr>
        <w:pStyle w:val="11"/>
        <w:numPr>
          <w:ilvl w:val="0"/>
          <w:numId w:val="2"/>
        </w:numPr>
        <w:ind w:left="0" w:leftChars="0" w:firstLine="400" w:firstLineChars="0"/>
      </w:pPr>
      <w:r>
        <w:rPr>
          <w:rFonts w:hint="eastAsia"/>
          <w:lang w:val="en-US" w:eastAsia="zh-CN"/>
        </w:rPr>
        <w:t>熟悉单晶X射线衍射的相关实验操作</w:t>
      </w:r>
    </w:p>
    <w:p w14:paraId="4F03130B">
      <w:pPr>
        <w:pStyle w:val="14"/>
        <w:spacing w:before="312"/>
      </w:pPr>
      <w:r>
        <w:rPr>
          <w:rFonts w:hint="eastAsia"/>
        </w:rPr>
        <w:t>2 实验原理</w:t>
      </w:r>
    </w:p>
    <w:p w14:paraId="48BE99EA">
      <w:pPr>
        <w:pStyle w:val="11"/>
        <w:numPr>
          <w:ilvl w:val="0"/>
          <w:numId w:val="3"/>
        </w:numPr>
        <w:ind w:left="0" w:leftChars="0" w:firstLine="400" w:firstLineChars="0"/>
      </w:pPr>
      <w:r>
        <w:rPr>
          <w:rFonts w:hint="eastAsia"/>
          <w:lang w:val="en-US" w:eastAsia="zh-CN"/>
        </w:rPr>
        <w:t>X射线的产生</w:t>
      </w:r>
    </w:p>
    <w:p w14:paraId="143BE543">
      <w:pPr>
        <w:pStyle w:val="11"/>
        <w:numPr>
          <w:ilvl w:val="1"/>
          <w:numId w:val="3"/>
        </w:numPr>
        <w:tabs>
          <w:tab w:val="clear" w:pos="840"/>
        </w:tabs>
        <w:ind w:left="1240" w:leftChars="0" w:hanging="420" w:firstLineChars="0"/>
      </w:pPr>
      <w:r>
        <w:rPr>
          <w:rFonts w:hint="eastAsia"/>
          <w:lang w:val="en-US" w:eastAsia="zh-CN"/>
        </w:rPr>
        <w:t>产生机理：在高真空(10-6~10-7 mm Hg) X射线管内，加热钨阴极而产生电子，这些电子在 30~70 kV 的电场中被加速。当高速电子冲击阳极(靶)时急骤减速，此时，电子仅 1~2％的动能转化为X射线，其余 98~99％的动能则以热能的形式释放，所以必须不断用水冷却阳极，以免烧坏X射线管，这又被称为水冷阳极。</w:t>
      </w:r>
    </w:p>
    <w:p w14:paraId="1FE9C57A">
      <w:pPr>
        <w:pStyle w:val="11"/>
        <w:numPr>
          <w:ilvl w:val="1"/>
          <w:numId w:val="3"/>
        </w:numPr>
        <w:tabs>
          <w:tab w:val="clear" w:pos="840"/>
        </w:tabs>
        <w:ind w:left="1240" w:leftChars="0" w:hanging="420" w:firstLineChars="0"/>
      </w:pPr>
      <w:r>
        <w:rPr>
          <w:rFonts w:hint="eastAsia"/>
          <w:lang w:val="en-US" w:eastAsia="zh-CN"/>
        </w:rPr>
        <w:t>特征X射线谱：</w:t>
      </w:r>
    </w:p>
    <w:p w14:paraId="5C7F99FE">
      <w:pPr>
        <w:pStyle w:val="11"/>
        <w:numPr>
          <w:ilvl w:val="2"/>
          <w:numId w:val="3"/>
        </w:numPr>
        <w:tabs>
          <w:tab w:val="clear" w:pos="1260"/>
        </w:tabs>
        <w:ind w:left="1660" w:leftChars="0" w:hanging="420" w:firstLineChars="0"/>
      </w:pPr>
      <w:r>
        <w:rPr>
          <w:rFonts w:hint="eastAsia"/>
          <w:lang w:val="en-US" w:eastAsia="zh-CN"/>
        </w:rPr>
        <w:t>高速运动的电子将金属原子的内层电子激发至脱离原子核，此时更高能级的电子跃迁至内层电子的空位上并放出能量，并以 X 射线光量子的形式辐射出来，形成特征X射线。特征X射线谱只与阳极靶材料的种类有关。</w:t>
      </w:r>
    </w:p>
    <w:p w14:paraId="3E093DF4">
      <w:pPr>
        <w:pStyle w:val="11"/>
        <w:numPr>
          <w:ilvl w:val="2"/>
          <w:numId w:val="3"/>
        </w:numPr>
        <w:tabs>
          <w:tab w:val="clear" w:pos="1260"/>
        </w:tabs>
        <w:ind w:left="1660" w:leftChars="0" w:hanging="420" w:firstLineChars="0"/>
      </w:pPr>
      <w:r>
        <w:rPr>
          <w:rFonts w:hint="eastAsia"/>
          <w:lang w:val="en-US" w:eastAsia="zh-CN"/>
        </w:rPr>
        <w:t>从L，M层跃迁至K层产生的X射线分别为K</w:t>
      </w:r>
      <w:r>
        <w:rPr>
          <w:rFonts w:hint="default"/>
          <w:vertAlign w:val="subscript"/>
          <w:lang w:val="el-GR" w:eastAsia="zh-CN"/>
        </w:rPr>
        <w:t>α</w:t>
      </w:r>
      <w:r>
        <w:rPr>
          <w:rFonts w:hint="eastAsia"/>
          <w:lang w:val="en-US" w:eastAsia="zh-CN"/>
        </w:rPr>
        <w:t>和K</w:t>
      </w:r>
      <w:r>
        <w:rPr>
          <w:rFonts w:hint="default"/>
          <w:vertAlign w:val="subscript"/>
          <w:lang w:val="el-GR" w:eastAsia="zh-CN"/>
        </w:rPr>
        <w:t>β</w:t>
      </w:r>
      <w:r>
        <w:rPr>
          <w:rFonts w:hint="eastAsia"/>
          <w:vertAlign w:val="baseline"/>
          <w:lang w:val="en-US" w:eastAsia="zh-CN"/>
        </w:rPr>
        <w:t>射线，波长分别为</w:t>
      </w:r>
    </w:p>
    <w:p w14:paraId="54C23CBE">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textAlignment w:val="auto"/>
      </w:pPr>
      <m:oMathPara>
        <m:oMathParaPr>
          <m:jc m:val="center"/>
        </m:oMathParaPr>
        <m:oMath>
          <m:sSub>
            <m:sSubPr>
              <m:ctrlPr>
                <w:rPr>
                  <w:rFonts w:ascii="Cambria Math" w:hAnsi="Cambria Math"/>
                  <w:i/>
                </w:rPr>
              </m:ctrlPr>
            </m:sSubPr>
            <m:e>
              <m:r>
                <m:rPr/>
                <w:rPr>
                  <w:rFonts w:hint="default" w:ascii="Cambria Math" w:hAnsi="Cambria Math"/>
                  <w:lang w:val="el-GR"/>
                </w:rPr>
                <m:t>λ</m:t>
              </m:r>
              <m:ctrlPr>
                <w:rPr>
                  <w:rFonts w:ascii="Cambria Math" w:hAnsi="Cambria Math"/>
                  <w:i/>
                </w:rPr>
              </m:ctrlPr>
            </m:e>
            <m:sub>
              <m:r>
                <m:rPr/>
                <w:rPr>
                  <w:rFonts w:hint="default" w:ascii="Cambria Math" w:hAnsi="Cambria Math"/>
                  <w:lang w:val="el-GR"/>
                </w:rPr>
                <m:t>α</m:t>
              </m:r>
              <m:ctrlPr>
                <w:rPr>
                  <w:rFonts w:ascii="Cambria Math" w:hAnsi="Cambria Math"/>
                  <w:i/>
                </w:rPr>
              </m:ctrlPr>
            </m:sub>
          </m:sSub>
          <m:r>
            <m:rPr/>
            <w:rPr>
              <w:rFonts w:hint="default" w:ascii="Cambria Math" w:hAnsi="Cambria Math"/>
              <w:lang w:val="el-GR"/>
            </w:rPr>
            <m:t>=</m:t>
          </m:r>
          <m:f>
            <m:fPr>
              <m:ctrlPr>
                <w:rPr>
                  <w:rFonts w:hint="default" w:ascii="Cambria Math" w:hAnsi="Cambria Math"/>
                  <w:i/>
                  <w:lang w:val="el-GR"/>
                </w:rPr>
              </m:ctrlPr>
            </m:fPr>
            <m:num>
              <m:r>
                <m:rPr/>
                <w:rPr>
                  <w:rFonts w:hint="default" w:ascii="Cambria Math" w:hAnsi="Cambria Math"/>
                  <w:lang w:val="en-US" w:eastAsia="zh-CN"/>
                </w:rPr>
                <m:t>hc</m:t>
              </m:r>
              <m:ctrlPr>
                <w:rPr>
                  <w:rFonts w:hint="default" w:ascii="Cambria Math" w:hAnsi="Cambria Math"/>
                  <w:i/>
                  <w:lang w:val="el-GR"/>
                </w:rPr>
              </m:ctrlPr>
            </m:num>
            <m:den>
              <m:sSub>
                <m:sSubPr>
                  <m:ctrlPr>
                    <w:rPr>
                      <w:rFonts w:hint="default" w:ascii="Cambria Math" w:hAnsi="Cambria Math"/>
                      <w:i/>
                      <w:lang w:val="el-GR"/>
                    </w:rPr>
                  </m:ctrlPr>
                </m:sSubPr>
                <m:e>
                  <m:r>
                    <m:rPr/>
                    <w:rPr>
                      <w:rFonts w:hint="default" w:ascii="Cambria Math" w:hAnsi="Cambria Math"/>
                      <w:lang w:val="en-US" w:eastAsia="zh-CN"/>
                    </w:rPr>
                    <m:t>E</m:t>
                  </m:r>
                  <m:ctrlPr>
                    <w:rPr>
                      <w:rFonts w:hint="default" w:ascii="Cambria Math" w:hAnsi="Cambria Math"/>
                      <w:i/>
                      <w:lang w:val="el-GR"/>
                    </w:rPr>
                  </m:ctrlPr>
                </m:e>
                <m:sub>
                  <m:r>
                    <m:rPr/>
                    <w:rPr>
                      <w:rFonts w:hint="default" w:ascii="Cambria Math" w:hAnsi="Cambria Math"/>
                      <w:lang w:val="en-US" w:eastAsia="zh-CN"/>
                    </w:rPr>
                    <m:t>L</m:t>
                  </m:r>
                  <m:ctrlPr>
                    <w:rPr>
                      <w:rFonts w:hint="default" w:ascii="Cambria Math" w:hAnsi="Cambria Math"/>
                      <w:i/>
                      <w:lang w:val="el-GR"/>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ctrlPr>
                <w:rPr>
                  <w:rFonts w:hint="default" w:ascii="Cambria Math" w:hAnsi="Cambria Math"/>
                  <w:i/>
                  <w:lang w:val="el-GR"/>
                </w:rPr>
              </m:ctrlPr>
            </m:den>
          </m:f>
          <m:r>
            <m:rPr/>
            <w:rPr>
              <w:rFonts w:hint="default" w:ascii="Cambria Math" w:hAnsi="Cambria Math"/>
              <w:lang w:val="en-US" w:eastAsia="zh-CN"/>
            </w:rPr>
            <m:t>,</m:t>
          </m:r>
          <m:sSub>
            <m:sSubPr>
              <m:ctrlPr>
                <w:rPr>
                  <w:rFonts w:ascii="Cambria Math" w:hAnsi="Cambria Math"/>
                  <w:i/>
                </w:rPr>
              </m:ctrlPr>
            </m:sSubPr>
            <m:e>
              <m:r>
                <m:rPr/>
                <w:rPr>
                  <w:rFonts w:hint="default" w:ascii="Cambria Math" w:hAnsi="Cambria Math"/>
                  <w:lang w:val="el-GR"/>
                </w:rPr>
                <m:t>λ</m:t>
              </m:r>
              <m:ctrlPr>
                <w:rPr>
                  <w:rFonts w:ascii="Cambria Math" w:hAnsi="Cambria Math"/>
                  <w:i/>
                </w:rPr>
              </m:ctrlPr>
            </m:e>
            <m:sub>
              <m:r>
                <m:rPr/>
                <w:rPr>
                  <w:rFonts w:hint="default" w:ascii="Cambria Math" w:hAnsi="Cambria Math"/>
                  <w:lang w:val="el-GR"/>
                </w:rPr>
                <m:t>β</m:t>
              </m:r>
              <m:ctrlPr>
                <w:rPr>
                  <w:rFonts w:ascii="Cambria Math" w:hAnsi="Cambria Math"/>
                  <w:i/>
                </w:rPr>
              </m:ctrlPr>
            </m:sub>
          </m:sSub>
          <m:r>
            <m:rPr/>
            <w:rPr>
              <w:rFonts w:hint="default" w:ascii="Cambria Math" w:hAnsi="Cambria Math"/>
              <w:lang w:val="el-GR"/>
            </w:rPr>
            <m:t>=</m:t>
          </m:r>
          <m:f>
            <m:fPr>
              <m:ctrlPr>
                <w:rPr>
                  <w:rFonts w:hint="default" w:ascii="Cambria Math" w:hAnsi="Cambria Math"/>
                  <w:i/>
                  <w:lang w:val="el-GR"/>
                </w:rPr>
              </m:ctrlPr>
            </m:fPr>
            <m:num>
              <m:r>
                <m:rPr/>
                <w:rPr>
                  <w:rFonts w:hint="default" w:ascii="Cambria Math" w:hAnsi="Cambria Math"/>
                  <w:lang w:val="en-US" w:eastAsia="zh-CN"/>
                </w:rPr>
                <m:t>hc</m:t>
              </m:r>
              <m:ctrlPr>
                <w:rPr>
                  <w:rFonts w:hint="default" w:ascii="Cambria Math" w:hAnsi="Cambria Math"/>
                  <w:i/>
                  <w:lang w:val="el-GR"/>
                </w:rPr>
              </m:ctrlPr>
            </m:num>
            <m:den>
              <m:sSub>
                <m:sSubPr>
                  <m:ctrlPr>
                    <w:rPr>
                      <w:rFonts w:hint="default" w:ascii="Cambria Math" w:hAnsi="Cambria Math"/>
                      <w:i/>
                      <w:lang w:val="el-GR"/>
                    </w:rPr>
                  </m:ctrlPr>
                </m:sSubPr>
                <m:e>
                  <m:r>
                    <m:rPr/>
                    <w:rPr>
                      <w:rFonts w:hint="default" w:ascii="Cambria Math" w:hAnsi="Cambria Math"/>
                      <w:lang w:val="en-US" w:eastAsia="zh-CN"/>
                    </w:rPr>
                    <m:t>E</m:t>
                  </m:r>
                  <m:ctrlPr>
                    <w:rPr>
                      <w:rFonts w:hint="default" w:ascii="Cambria Math" w:hAnsi="Cambria Math"/>
                      <w:i/>
                      <w:lang w:val="el-GR"/>
                    </w:rPr>
                  </m:ctrlPr>
                </m:e>
                <m:sub>
                  <m:r>
                    <m:rPr/>
                    <w:rPr>
                      <w:rFonts w:hint="default" w:ascii="Cambria Math" w:hAnsi="Cambria Math"/>
                      <w:lang w:val="el-GR"/>
                    </w:rPr>
                    <m:t>Μ</m:t>
                  </m:r>
                  <m:ctrlPr>
                    <w:rPr>
                      <w:rFonts w:hint="default" w:ascii="Cambria Math" w:hAnsi="Cambria Math"/>
                      <w:i/>
                      <w:lang w:val="el-GR"/>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ctrlPr>
                <w:rPr>
                  <w:rFonts w:hint="default" w:ascii="Cambria Math" w:hAnsi="Cambria Math"/>
                  <w:i/>
                  <w:lang w:val="el-GR"/>
                </w:rPr>
              </m:ctrlPr>
            </m:den>
          </m:f>
        </m:oMath>
      </m:oMathPara>
    </w:p>
    <w:p w14:paraId="7C7AA162">
      <w:pPr>
        <w:pStyle w:val="11"/>
        <w:numPr>
          <w:ilvl w:val="2"/>
          <w:numId w:val="3"/>
        </w:numPr>
        <w:tabs>
          <w:tab w:val="clear" w:pos="1260"/>
        </w:tabs>
        <w:ind w:left="1660" w:leftChars="0" w:hanging="420" w:firstLineChars="0"/>
        <w:rPr>
          <w:rFonts w:hint="default" w:hAnsi="Cambria Math"/>
          <w:i w:val="0"/>
          <w:lang w:val="el-GR" w:eastAsia="zh-CN"/>
        </w:rPr>
      </w:pPr>
      <w:r>
        <w:rPr>
          <w:rFonts w:hint="eastAsia"/>
          <w:lang w:val="en-US" w:eastAsia="zh-CN"/>
        </w:rPr>
        <w:t>其中Mo的K</w:t>
      </w:r>
      <w:r>
        <w:rPr>
          <w:rFonts w:hint="default"/>
          <w:vertAlign w:val="subscript"/>
          <w:lang w:val="el-GR" w:eastAsia="zh-CN"/>
        </w:rPr>
        <w:t>α</w:t>
      </w:r>
      <w:r>
        <w:rPr>
          <w:rFonts w:hint="eastAsia"/>
          <w:lang w:val="en-US" w:eastAsia="zh-CN"/>
        </w:rPr>
        <w:t>和K</w:t>
      </w:r>
      <w:r>
        <w:rPr>
          <w:rFonts w:hint="default"/>
          <w:vertAlign w:val="subscript"/>
          <w:lang w:val="el-GR" w:eastAsia="zh-CN"/>
        </w:rPr>
        <w:t>β</w:t>
      </w:r>
      <w:r>
        <w:rPr>
          <w:rFonts w:hint="eastAsia"/>
          <w:vertAlign w:val="baseline"/>
          <w:lang w:val="en-US" w:eastAsia="zh-CN"/>
        </w:rPr>
        <w:t>射线波长分别为0.7107Å，0.6323Å，Cu的</w:t>
      </w:r>
      <w:r>
        <w:rPr>
          <w:rFonts w:hint="eastAsia"/>
          <w:lang w:val="en-US" w:eastAsia="zh-CN"/>
        </w:rPr>
        <w:t>K</w:t>
      </w:r>
      <w:r>
        <w:rPr>
          <w:rFonts w:hint="default"/>
          <w:vertAlign w:val="subscript"/>
          <w:lang w:val="el-GR" w:eastAsia="zh-CN"/>
        </w:rPr>
        <w:t>α</w:t>
      </w:r>
      <w:r>
        <w:rPr>
          <w:rFonts w:hint="eastAsia"/>
          <w:lang w:val="en-US" w:eastAsia="zh-CN"/>
        </w:rPr>
        <w:t>和K</w:t>
      </w:r>
      <w:r>
        <w:rPr>
          <w:rFonts w:hint="default"/>
          <w:vertAlign w:val="subscript"/>
          <w:lang w:val="el-GR" w:eastAsia="zh-CN"/>
        </w:rPr>
        <w:t>β</w:t>
      </w:r>
      <w:r>
        <w:rPr>
          <w:rFonts w:hint="eastAsia"/>
          <w:vertAlign w:val="baseline"/>
          <w:lang w:val="en-US" w:eastAsia="zh-CN"/>
        </w:rPr>
        <w:t>射线波长分别为1.5419Å，1.3922Å。</w:t>
      </w:r>
    </w:p>
    <w:p w14:paraId="35C384D9">
      <w:pPr>
        <w:pStyle w:val="11"/>
        <w:numPr>
          <w:ilvl w:val="0"/>
          <w:numId w:val="3"/>
        </w:numPr>
        <w:ind w:left="0" w:leftChars="0" w:firstLine="400" w:firstLineChars="0"/>
      </w:pPr>
      <w:r>
        <w:rPr>
          <w:rFonts w:hint="eastAsia"/>
          <w:lang w:val="en-US" w:eastAsia="zh-CN"/>
        </w:rPr>
        <w:t>X射线衍射法</w:t>
      </w:r>
    </w:p>
    <w:p w14:paraId="25626738">
      <w:pPr>
        <w:pStyle w:val="11"/>
        <w:numPr>
          <w:ilvl w:val="1"/>
          <w:numId w:val="3"/>
        </w:numPr>
        <w:tabs>
          <w:tab w:val="clear" w:pos="840"/>
        </w:tabs>
        <w:ind w:left="1240" w:leftChars="0" w:hanging="420" w:firstLineChars="0"/>
      </w:pPr>
      <w:r>
        <w:rPr>
          <w:rFonts w:hint="eastAsia"/>
          <w:lang w:val="en-US" w:eastAsia="zh-CN"/>
        </w:rPr>
        <w:t>将晶体视为三维衍射光栅，如图1所示。在Bragg公式中，不同干涉面上，能发生干涉的两条X射线存在下列关系</w:t>
      </w:r>
    </w:p>
    <w:p w14:paraId="07C47562">
      <w:pPr>
        <w:pStyle w:val="11"/>
        <w:numPr>
          <w:ilvl w:val="0"/>
          <w:numId w:val="0"/>
        </w:numPr>
        <w:rPr>
          <w:rFonts w:hint="default" w:hAnsi="Cambria Math" w:cs="Times New Roman"/>
          <w:i w:val="0"/>
          <w:color w:val="000000"/>
          <w:kern w:val="2"/>
          <w:sz w:val="21"/>
          <w:szCs w:val="24"/>
          <w:lang w:val="el-GR" w:eastAsia="zh-CN" w:bidi="ar-SA"/>
        </w:rPr>
      </w:pPr>
      <m:oMathPara>
        <m:oMathParaPr>
          <m:jc m:val="center"/>
        </m:oMathParaPr>
        <m:oMath>
          <m:r>
            <m:rPr/>
            <w:rPr>
              <w:rFonts w:hint="default" w:ascii="Cambria Math" w:hAnsi="Cambria Math" w:cs="Times New Roman"/>
              <w:color w:val="000000"/>
              <w:kern w:val="2"/>
              <w:sz w:val="21"/>
              <w:szCs w:val="24"/>
              <w:lang w:val="el-GR" w:eastAsia="zh-CN" w:bidi="ar-SA"/>
            </w:rPr>
            <m:t>2</m:t>
          </m:r>
          <m:r>
            <m:rPr/>
            <w:rPr>
              <w:rFonts w:hint="default" w:ascii="Cambria Math" w:hAnsi="Cambria Math" w:cs="Times New Roman"/>
              <w:color w:val="000000"/>
              <w:kern w:val="2"/>
              <w:sz w:val="21"/>
              <w:szCs w:val="24"/>
              <w:lang w:val="en-US" w:eastAsia="zh-CN" w:bidi="ar-SA"/>
            </w:rPr>
            <m:t>dsin</m:t>
          </m:r>
          <m:r>
            <m:rPr/>
            <w:rPr>
              <w:rFonts w:hint="default" w:ascii="Cambria Math" w:hAnsi="Cambria Math" w:cs="Times New Roman"/>
              <w:color w:val="000000"/>
              <w:kern w:val="2"/>
              <w:sz w:val="21"/>
              <w:szCs w:val="24"/>
              <w:lang w:val="el-GR" w:eastAsia="zh-CN" w:bidi="ar-SA"/>
            </w:rPr>
            <m:t>θ=λ</m:t>
          </m:r>
        </m:oMath>
      </m:oMathPara>
    </w:p>
    <w:p w14:paraId="7F5B3128">
      <w:pPr>
        <w:pStyle w:val="11"/>
        <w:numPr>
          <w:ilvl w:val="1"/>
          <w:numId w:val="3"/>
        </w:numPr>
        <w:tabs>
          <w:tab w:val="clear" w:pos="840"/>
        </w:tabs>
        <w:ind w:left="1240" w:leftChars="0" w:hanging="420" w:firstLineChars="0"/>
      </w:pPr>
      <w:r>
        <w:rPr>
          <w:rFonts w:hint="eastAsia"/>
          <w:lang w:val="en-US" w:eastAsia="zh-CN"/>
        </w:rPr>
        <w:t>其中d为两干涉面之间的距离，</w:t>
      </w:r>
      <w:r>
        <w:rPr>
          <w:rFonts w:hint="default"/>
          <w:lang w:val="el-GR" w:eastAsia="zh-CN"/>
        </w:rPr>
        <w:t>θ</w:t>
      </w:r>
      <w:r>
        <w:rPr>
          <w:rFonts w:hint="eastAsia"/>
          <w:lang w:val="en-US" w:eastAsia="zh-CN"/>
        </w:rPr>
        <w:t>为掠射角，</w:t>
      </w:r>
      <w:r>
        <w:rPr>
          <w:rFonts w:hint="default"/>
          <w:lang w:val="el-GR" w:eastAsia="zh-CN"/>
        </w:rPr>
        <w:t>λ</w:t>
      </w:r>
      <w:r>
        <w:rPr>
          <w:rFonts w:hint="eastAsia"/>
          <w:lang w:val="en-US" w:eastAsia="zh-CN"/>
        </w:rPr>
        <w:t>为X射线波长，此时光程差DB+BF为半波长的偶数倍，可观察到衍射现象，此时需满足</w:t>
      </w:r>
      <w:r>
        <w:rPr>
          <w:rFonts w:hint="default"/>
          <w:lang w:val="el-GR" w:eastAsia="zh-CN"/>
        </w:rPr>
        <w:t>λ</w:t>
      </w:r>
      <w:r>
        <w:rPr>
          <w:rFonts w:hint="eastAsia"/>
          <w:lang w:val="en-US" w:eastAsia="zh-CN"/>
        </w:rPr>
        <w:t>小于2d。通过已知波长的X射线来测量</w:t>
      </w:r>
      <w:r>
        <w:rPr>
          <w:rFonts w:hint="default"/>
          <w:lang w:val="el-GR" w:eastAsia="zh-CN"/>
        </w:rPr>
        <w:t>θ</w:t>
      </w:r>
      <w:r>
        <w:rPr>
          <w:rFonts w:hint="eastAsia"/>
          <w:lang w:val="en-US" w:eastAsia="zh-CN"/>
        </w:rPr>
        <w:t>角，可以反推出d。</w:t>
      </w:r>
    </w:p>
    <w:p w14:paraId="148103E5">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822" w:leftChars="0"/>
        <w:jc w:val="center"/>
        <w:textAlignment w:val="auto"/>
      </w:pPr>
      <w:r>
        <w:drawing>
          <wp:inline distT="0" distB="0" distL="114300" distR="114300">
            <wp:extent cx="2101215" cy="114490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101215" cy="1144905"/>
                    </a:xfrm>
                    <a:prstGeom prst="rect">
                      <a:avLst/>
                    </a:prstGeom>
                    <a:noFill/>
                    <a:ln>
                      <a:noFill/>
                    </a:ln>
                  </pic:spPr>
                </pic:pic>
              </a:graphicData>
            </a:graphic>
          </wp:inline>
        </w:drawing>
      </w:r>
    </w:p>
    <w:p w14:paraId="369D00D2">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822" w:leftChars="0"/>
        <w:jc w:val="center"/>
        <w:textAlignment w:val="auto"/>
        <w:rPr>
          <w:rFonts w:hint="default" w:eastAsia="宋体"/>
          <w:sz w:val="18"/>
          <w:szCs w:val="18"/>
          <w:lang w:val="en-US" w:eastAsia="zh-CN"/>
        </w:rPr>
      </w:pPr>
      <w:r>
        <w:rPr>
          <w:rFonts w:hint="eastAsia"/>
          <w:sz w:val="18"/>
          <w:szCs w:val="18"/>
          <w:lang w:val="en-US" w:eastAsia="zh-CN"/>
        </w:rPr>
        <w:t>图1  X射线衍射示意图</w:t>
      </w:r>
    </w:p>
    <w:p w14:paraId="7FD82EA4">
      <w:pPr>
        <w:pStyle w:val="11"/>
        <w:keepNext w:val="0"/>
        <w:keepLines w:val="0"/>
        <w:pageBreakBefore w:val="0"/>
        <w:widowControl w:val="0"/>
        <w:numPr>
          <w:ilvl w:val="1"/>
          <w:numId w:val="3"/>
        </w:numPr>
        <w:tabs>
          <w:tab w:val="clear" w:pos="840"/>
        </w:tabs>
        <w:kinsoku/>
        <w:wordWrap/>
        <w:overflowPunct/>
        <w:topLinePunct w:val="0"/>
        <w:autoSpaceDE/>
        <w:autoSpaceDN/>
        <w:bidi w:val="0"/>
        <w:adjustRightInd w:val="0"/>
        <w:snapToGrid w:val="0"/>
        <w:spacing w:line="320" w:lineRule="exact"/>
        <w:ind w:left="1242" w:leftChars="0" w:hanging="420" w:firstLineChars="0"/>
        <w:textAlignment w:val="auto"/>
      </w:pPr>
      <w:r>
        <w:rPr>
          <w:rFonts w:hint="eastAsia"/>
          <w:lang w:val="en-US" w:eastAsia="zh-CN"/>
        </w:rPr>
        <w:t>以1/d为长度做不同晶面的法向量，并将这些向量平移至共起点，其终点构成倒易点阵。用Bragg方程描述，有</w:t>
      </w:r>
    </w:p>
    <w:p w14:paraId="7167BB39">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822" w:leftChars="0"/>
        <w:textAlignment w:val="auto"/>
      </w:pPr>
      <m:oMathPara>
        <m:oMath>
          <m:r>
            <m:rPr/>
            <w:rPr>
              <w:rFonts w:hint="default" w:ascii="Cambria Math" w:hAnsi="Cambria Math" w:cs="Times New Roman"/>
              <w:color w:val="000000"/>
              <w:kern w:val="2"/>
              <w:sz w:val="21"/>
              <w:szCs w:val="24"/>
              <w:lang w:val="en-US" w:eastAsia="zh-CN" w:bidi="ar-SA"/>
            </w:rPr>
            <m:t>sin</m:t>
          </m:r>
          <m:r>
            <m:rPr/>
            <w:rPr>
              <w:rFonts w:hint="default" w:ascii="Cambria Math" w:hAnsi="Cambria Math" w:cs="Times New Roman"/>
              <w:color w:val="000000"/>
              <w:kern w:val="2"/>
              <w:sz w:val="21"/>
              <w:szCs w:val="24"/>
              <w:lang w:val="el-GR" w:eastAsia="zh-CN" w:bidi="ar-SA"/>
            </w:rPr>
            <m:t>θ</m:t>
          </m:r>
          <m:r>
            <m:rPr/>
            <w:rPr>
              <w:rFonts w:hint="default" w:ascii="Cambria Math" w:hAnsi="Cambria Math" w:cs="Times New Roman"/>
              <w:color w:val="000000"/>
              <w:kern w:val="2"/>
              <w:sz w:val="21"/>
              <w:szCs w:val="24"/>
              <w:lang w:val="en-US" w:eastAsia="zh-CN" w:bidi="ar-SA"/>
            </w:rPr>
            <m:t>=</m:t>
          </m:r>
          <m:f>
            <m:fPr>
              <m:ctrlPr>
                <w:rPr>
                  <w:rFonts w:hint="default" w:ascii="Cambria Math" w:hAnsi="Cambria Math" w:cs="Times New Roman"/>
                  <w:i/>
                  <w:color w:val="000000"/>
                  <w:kern w:val="2"/>
                  <w:sz w:val="21"/>
                  <w:szCs w:val="24"/>
                  <w:lang w:val="en-US" w:eastAsia="zh-CN" w:bidi="ar-SA"/>
                </w:rPr>
              </m:ctrlPr>
            </m:fPr>
            <m:num>
              <m:r>
                <m:rPr/>
                <w:rPr>
                  <w:rFonts w:hint="default" w:ascii="Cambria Math" w:hAnsi="Cambria Math" w:cs="Times New Roman"/>
                  <w:color w:val="000000"/>
                  <w:kern w:val="2"/>
                  <w:sz w:val="21"/>
                  <w:szCs w:val="24"/>
                  <w:lang w:val="en-US" w:eastAsia="zh-CN" w:bidi="ar-SA"/>
                </w:rPr>
                <m:t>(</m:t>
              </m:r>
              <m:f>
                <m:fPr>
                  <m:ctrlPr>
                    <w:rPr>
                      <w:rFonts w:hint="default" w:ascii="Cambria Math" w:hAnsi="Cambria Math" w:cs="Times New Roman"/>
                      <w:i/>
                      <w:color w:val="000000"/>
                      <w:kern w:val="2"/>
                      <w:sz w:val="21"/>
                      <w:szCs w:val="24"/>
                      <w:lang w:val="en-US" w:eastAsia="zh-CN" w:bidi="ar-SA"/>
                    </w:rPr>
                  </m:ctrlPr>
                </m:fPr>
                <m:num>
                  <m:r>
                    <m:rPr/>
                    <w:rPr>
                      <w:rFonts w:hint="default" w:ascii="Cambria Math" w:hAnsi="Cambria Math" w:cs="Times New Roman"/>
                      <w:color w:val="000000"/>
                      <w:kern w:val="2"/>
                      <w:sz w:val="21"/>
                      <w:szCs w:val="24"/>
                      <w:lang w:val="el-GR" w:eastAsia="zh-CN" w:bidi="ar-SA"/>
                    </w:rPr>
                    <m:t>λ</m:t>
                  </m:r>
                  <m:ctrlPr>
                    <w:rPr>
                      <w:rFonts w:hint="default" w:ascii="Cambria Math" w:hAnsi="Cambria Math" w:cs="Times New Roman"/>
                      <w:i/>
                      <w:color w:val="000000"/>
                      <w:kern w:val="2"/>
                      <w:sz w:val="21"/>
                      <w:szCs w:val="24"/>
                      <w:lang w:val="en-US" w:eastAsia="zh-CN" w:bidi="ar-SA"/>
                    </w:rPr>
                  </m:ctrlPr>
                </m:num>
                <m:den>
                  <m:r>
                    <m:rPr/>
                    <w:rPr>
                      <w:rFonts w:hint="default" w:ascii="Cambria Math" w:hAnsi="Cambria Math" w:cs="Times New Roman"/>
                      <w:color w:val="000000"/>
                      <w:kern w:val="2"/>
                      <w:sz w:val="21"/>
                      <w:szCs w:val="24"/>
                      <w:lang w:val="en-US" w:eastAsia="zh-CN" w:bidi="ar-SA"/>
                    </w:rPr>
                    <m:t>d</m:t>
                  </m:r>
                  <m:ctrlPr>
                    <w:rPr>
                      <w:rFonts w:hint="default" w:ascii="Cambria Math" w:hAnsi="Cambria Math" w:cs="Times New Roman"/>
                      <w:i/>
                      <w:color w:val="000000"/>
                      <w:kern w:val="2"/>
                      <w:sz w:val="21"/>
                      <w:szCs w:val="24"/>
                      <w:lang w:val="en-US" w:eastAsia="zh-CN" w:bidi="ar-SA"/>
                    </w:rPr>
                  </m:ctrlPr>
                </m:den>
              </m:f>
              <m:r>
                <m:rPr/>
                <w:rPr>
                  <w:rFonts w:hint="default" w:ascii="Cambria Math" w:hAnsi="Cambria Math" w:cs="Times New Roman"/>
                  <w:color w:val="000000"/>
                  <w:kern w:val="2"/>
                  <w:sz w:val="21"/>
                  <w:szCs w:val="24"/>
                  <w:lang w:val="en-US" w:eastAsia="zh-CN" w:bidi="ar-SA"/>
                </w:rPr>
                <m:t>)</m:t>
              </m:r>
              <m:ctrlPr>
                <w:rPr>
                  <w:rFonts w:hint="default" w:ascii="Cambria Math" w:hAnsi="Cambria Math" w:cs="Times New Roman"/>
                  <w:i/>
                  <w:color w:val="000000"/>
                  <w:kern w:val="2"/>
                  <w:sz w:val="21"/>
                  <w:szCs w:val="24"/>
                  <w:lang w:val="en-US" w:eastAsia="zh-CN" w:bidi="ar-SA"/>
                </w:rPr>
              </m:ctrlPr>
            </m:num>
            <m:den>
              <m:r>
                <m:rPr/>
                <w:rPr>
                  <w:rFonts w:hint="default" w:ascii="Cambria Math" w:hAnsi="Cambria Math" w:cs="Times New Roman"/>
                  <w:color w:val="000000"/>
                  <w:kern w:val="2"/>
                  <w:sz w:val="21"/>
                  <w:szCs w:val="24"/>
                  <w:lang w:val="en-US" w:eastAsia="zh-CN" w:bidi="ar-SA"/>
                </w:rPr>
                <m:t>2</m:t>
              </m:r>
              <m:ctrlPr>
                <w:rPr>
                  <w:rFonts w:hint="default" w:ascii="Cambria Math" w:hAnsi="Cambria Math" w:cs="Times New Roman"/>
                  <w:i/>
                  <w:color w:val="000000"/>
                  <w:kern w:val="2"/>
                  <w:sz w:val="21"/>
                  <w:szCs w:val="24"/>
                  <w:lang w:val="en-US" w:eastAsia="zh-CN" w:bidi="ar-SA"/>
                </w:rPr>
              </m:ctrlPr>
            </m:den>
          </m:f>
        </m:oMath>
      </m:oMathPara>
    </w:p>
    <w:p w14:paraId="2B3AF5D9">
      <w:pPr>
        <w:pStyle w:val="11"/>
        <w:keepNext w:val="0"/>
        <w:keepLines w:val="0"/>
        <w:pageBreakBefore w:val="0"/>
        <w:widowControl w:val="0"/>
        <w:numPr>
          <w:ilvl w:val="1"/>
          <w:numId w:val="3"/>
        </w:numPr>
        <w:tabs>
          <w:tab w:val="clear" w:pos="840"/>
        </w:tabs>
        <w:kinsoku/>
        <w:wordWrap/>
        <w:overflowPunct/>
        <w:topLinePunct w:val="0"/>
        <w:autoSpaceDE/>
        <w:autoSpaceDN/>
        <w:bidi w:val="0"/>
        <w:adjustRightInd w:val="0"/>
        <w:snapToGrid w:val="0"/>
        <w:spacing w:line="240" w:lineRule="atLeast"/>
        <w:ind w:left="1242" w:leftChars="0" w:hanging="420" w:firstLineChars="0"/>
        <w:textAlignment w:val="auto"/>
      </w:pPr>
      <w:r>
        <w:rPr>
          <w:rFonts w:hint="eastAsia"/>
          <w:lang w:val="en-US" w:eastAsia="zh-CN"/>
        </w:rPr>
        <w:t>以2为斜边，</w:t>
      </w:r>
      <m:oMath>
        <m:f>
          <m:fPr>
            <m:ctrlPr>
              <w:rPr>
                <w:rFonts w:hint="default" w:ascii="Cambria Math" w:hAnsi="Cambria Math" w:cs="Times New Roman"/>
                <w:i/>
                <w:color w:val="000000"/>
                <w:kern w:val="2"/>
                <w:sz w:val="21"/>
                <w:szCs w:val="24"/>
                <w:lang w:val="en-US" w:eastAsia="zh-CN" w:bidi="ar-SA"/>
              </w:rPr>
            </m:ctrlPr>
          </m:fPr>
          <m:num>
            <m:r>
              <m:rPr/>
              <w:rPr>
                <w:rFonts w:hint="default" w:ascii="Cambria Math" w:hAnsi="Cambria Math" w:cs="Times New Roman"/>
                <w:color w:val="000000"/>
                <w:kern w:val="2"/>
                <w:sz w:val="21"/>
                <w:szCs w:val="24"/>
                <w:lang w:val="el-GR" w:eastAsia="zh-CN" w:bidi="ar-SA"/>
              </w:rPr>
              <m:t>λ</m:t>
            </m:r>
            <m:ctrlPr>
              <w:rPr>
                <w:rFonts w:hint="default" w:ascii="Cambria Math" w:hAnsi="Cambria Math" w:cs="Times New Roman"/>
                <w:i/>
                <w:color w:val="000000"/>
                <w:kern w:val="2"/>
                <w:sz w:val="21"/>
                <w:szCs w:val="24"/>
                <w:lang w:val="en-US" w:eastAsia="zh-CN" w:bidi="ar-SA"/>
              </w:rPr>
            </m:ctrlPr>
          </m:num>
          <m:den>
            <m:r>
              <m:rPr/>
              <w:rPr>
                <w:rFonts w:hint="default" w:ascii="Cambria Math" w:hAnsi="Cambria Math" w:cs="Times New Roman"/>
                <w:color w:val="000000"/>
                <w:kern w:val="2"/>
                <w:sz w:val="21"/>
                <w:szCs w:val="24"/>
                <w:lang w:val="en-US" w:eastAsia="zh-CN" w:bidi="ar-SA"/>
              </w:rPr>
              <m:t>d</m:t>
            </m:r>
            <m:ctrlPr>
              <w:rPr>
                <w:rFonts w:hint="default" w:ascii="Cambria Math" w:hAnsi="Cambria Math" w:cs="Times New Roman"/>
                <w:i/>
                <w:color w:val="000000"/>
                <w:kern w:val="2"/>
                <w:sz w:val="21"/>
                <w:szCs w:val="24"/>
                <w:lang w:val="en-US" w:eastAsia="zh-CN" w:bidi="ar-SA"/>
              </w:rPr>
            </m:ctrlPr>
          </m:den>
        </m:f>
      </m:oMath>
      <w:r>
        <w:rPr>
          <w:rFonts w:hint="eastAsia" w:hAnsi="Cambria Math" w:cs="Times New Roman"/>
          <w:i w:val="0"/>
          <w:color w:val="000000"/>
          <w:kern w:val="2"/>
          <w:sz w:val="21"/>
          <w:szCs w:val="24"/>
          <w:lang w:val="en-US" w:eastAsia="zh-CN" w:bidi="ar-SA"/>
        </w:rPr>
        <w:t>为短边，做直角三角形。此时不同的直角三角形的直角顶点会形成一个圆，三维空间中，将该圆绕其直径旋转形成反射球。直角三角形其中一条边对应倒易点阵中的向量，只有当倒易点阵点位于反射球的球面时才能满足Bragg方程的条件，发生衍射。发生衍射时，反射光线与倒易点阵点相交。入射光线沿直径方向，在球心位置反射，反射面即倒易点阵点对应向量的晶面。如图2.</w:t>
      </w:r>
    </w:p>
    <w:p w14:paraId="6207F791">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jc w:val="center"/>
        <w:textAlignment w:val="auto"/>
      </w:pPr>
      <w:r>
        <w:drawing>
          <wp:inline distT="0" distB="0" distL="114300" distR="114300">
            <wp:extent cx="4217035" cy="1660525"/>
            <wp:effectExtent l="0" t="0" r="1206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217035" cy="1660525"/>
                    </a:xfrm>
                    <a:prstGeom prst="rect">
                      <a:avLst/>
                    </a:prstGeom>
                    <a:noFill/>
                    <a:ln>
                      <a:noFill/>
                    </a:ln>
                  </pic:spPr>
                </pic:pic>
              </a:graphicData>
            </a:graphic>
          </wp:inline>
        </w:drawing>
      </w:r>
    </w:p>
    <w:p w14:paraId="2CBB0425">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jc w:val="center"/>
        <w:textAlignment w:val="auto"/>
      </w:pPr>
    </w:p>
    <w:p w14:paraId="0EF63B22">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jc w:val="center"/>
        <w:textAlignment w:val="auto"/>
        <w:rPr>
          <w:rFonts w:hint="eastAsia"/>
          <w:sz w:val="18"/>
          <w:szCs w:val="18"/>
          <w:lang w:val="en-US" w:eastAsia="zh-CN"/>
        </w:rPr>
      </w:pPr>
      <w:r>
        <w:rPr>
          <w:rFonts w:hint="eastAsia"/>
          <w:sz w:val="18"/>
          <w:szCs w:val="18"/>
          <w:lang w:val="en-US" w:eastAsia="zh-CN"/>
        </w:rPr>
        <w:t>图2 衍射条件的图解</w:t>
      </w:r>
    </w:p>
    <w:p w14:paraId="6A2295FD">
      <w:pPr>
        <w:pStyle w:val="11"/>
        <w:keepNext w:val="0"/>
        <w:keepLines w:val="0"/>
        <w:pageBreakBefore w:val="0"/>
        <w:widowControl w:val="0"/>
        <w:numPr>
          <w:ilvl w:val="1"/>
          <w:numId w:val="3"/>
        </w:numPr>
        <w:tabs>
          <w:tab w:val="clear" w:pos="840"/>
        </w:tabs>
        <w:kinsoku/>
        <w:wordWrap/>
        <w:overflowPunct/>
        <w:topLinePunct w:val="0"/>
        <w:autoSpaceDE/>
        <w:autoSpaceDN/>
        <w:bidi w:val="0"/>
        <w:adjustRightInd w:val="0"/>
        <w:snapToGrid w:val="0"/>
        <w:spacing w:line="240" w:lineRule="atLeast"/>
        <w:ind w:left="1242" w:leftChars="0" w:hanging="420" w:firstLineChars="0"/>
        <w:textAlignment w:val="auto"/>
      </w:pPr>
      <w:r>
        <w:rPr>
          <w:rFonts w:hint="eastAsia"/>
          <w:sz w:val="21"/>
          <w:szCs w:val="21"/>
          <w:lang w:val="en-US" w:eastAsia="zh-CN"/>
        </w:rPr>
        <w:t>四圆 X 射线衍射法中，衍射线的方向取决于倒易点阵与反射球的交点位置，垂直于旋转轴的同一倒易点阵层内的所有倒易点阵点与反射球的交点处在一个圆周上。同理，将晶体重新安装使其围绕另外的轴旋转，就可测出倒易点阵其他方向的分布。如此反复，反射球和倒易点阵相互作用给予我们一个完整的衍射空间，据此复原整个倒易点阵。如图3.</w:t>
      </w:r>
    </w:p>
    <w:p w14:paraId="706A679E">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jc w:val="center"/>
        <w:textAlignment w:val="auto"/>
      </w:pPr>
      <w:r>
        <w:drawing>
          <wp:inline distT="0" distB="0" distL="114300" distR="114300">
            <wp:extent cx="2348230" cy="1696720"/>
            <wp:effectExtent l="0" t="0" r="127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2348230" cy="1696720"/>
                    </a:xfrm>
                    <a:prstGeom prst="rect">
                      <a:avLst/>
                    </a:prstGeom>
                    <a:noFill/>
                    <a:ln>
                      <a:noFill/>
                    </a:ln>
                  </pic:spPr>
                </pic:pic>
              </a:graphicData>
            </a:graphic>
          </wp:inline>
        </w:drawing>
      </w:r>
    </w:p>
    <w:p w14:paraId="112539A9">
      <w:pPr>
        <w:pStyle w:val="11"/>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jc w:val="center"/>
        <w:textAlignment w:val="auto"/>
        <w:rPr>
          <w:rFonts w:hint="default" w:eastAsia="宋体"/>
          <w:sz w:val="18"/>
          <w:szCs w:val="18"/>
          <w:lang w:val="en-US" w:eastAsia="zh-CN"/>
        </w:rPr>
      </w:pPr>
      <w:r>
        <w:rPr>
          <w:rFonts w:hint="eastAsia"/>
          <w:sz w:val="18"/>
          <w:szCs w:val="18"/>
          <w:lang w:val="en-US" w:eastAsia="zh-CN"/>
        </w:rPr>
        <w:t>图3 旋转晶体的倒易点阵结构</w:t>
      </w:r>
    </w:p>
    <w:p w14:paraId="02B8A6E0">
      <w:pPr>
        <w:pStyle w:val="11"/>
        <w:ind w:firstLine="420"/>
      </w:pPr>
    </w:p>
    <w:p w14:paraId="60ADED00">
      <w:pPr>
        <w:pStyle w:val="14"/>
        <w:spacing w:before="312"/>
      </w:pPr>
      <w:r>
        <w:rPr>
          <w:rFonts w:hint="eastAsia"/>
        </w:rPr>
        <w:t>3 仪器和试剂</w:t>
      </w:r>
    </w:p>
    <w:p w14:paraId="757CCF20">
      <w:pPr>
        <w:pStyle w:val="11"/>
        <w:numPr>
          <w:ilvl w:val="0"/>
          <w:numId w:val="4"/>
        </w:numPr>
        <w:ind w:left="0" w:leftChars="0" w:firstLine="400" w:firstLineChars="0"/>
        <w:rPr/>
      </w:pPr>
      <w:r>
        <w:rPr>
          <w:rFonts w:hint="eastAsia"/>
          <w:lang w:val="en-US" w:eastAsia="zh-CN"/>
        </w:rPr>
        <w:t>仪器：</w:t>
      </w:r>
      <w:r>
        <w:rPr>
          <w:lang w:val="en-US" w:eastAsia="zh-CN"/>
        </w:rPr>
        <w:t xml:space="preserve">单晶X射线衍射仪 Supernova （日本 理学 2012 </w:t>
      </w:r>
      <w:r>
        <w:rPr>
          <w:rFonts w:hint="eastAsia"/>
          <w:lang w:val="en-US" w:eastAsia="zh-CN"/>
        </w:rPr>
        <w:t xml:space="preserve"> Agilent Technologies）</w:t>
      </w:r>
    </w:p>
    <w:p w14:paraId="38ECFFE5">
      <w:pPr>
        <w:pStyle w:val="11"/>
        <w:ind w:firstLine="420"/>
      </w:pPr>
    </w:p>
    <w:p w14:paraId="3166DE9E">
      <w:pPr>
        <w:pStyle w:val="14"/>
        <w:spacing w:before="312"/>
      </w:pPr>
      <w:r>
        <w:rPr>
          <w:rFonts w:hint="eastAsia"/>
        </w:rPr>
        <w:t>4 仪器条件、实验操作步骤和注意事项</w:t>
      </w:r>
    </w:p>
    <w:p w14:paraId="2DD2E76E">
      <w:pPr>
        <w:pStyle w:val="11"/>
        <w:numPr>
          <w:ilvl w:val="0"/>
          <w:numId w:val="5"/>
        </w:numPr>
        <w:ind w:left="0" w:leftChars="0" w:firstLine="400" w:firstLineChars="0"/>
      </w:pPr>
      <w:r>
        <w:rPr>
          <w:rFonts w:hint="eastAsia"/>
          <w:lang w:val="en-US" w:eastAsia="zh-CN"/>
        </w:rPr>
        <w:t>实验步骤：</w:t>
      </w:r>
    </w:p>
    <w:p w14:paraId="5BBF9C8E">
      <w:pPr>
        <w:pStyle w:val="11"/>
        <w:numPr>
          <w:ilvl w:val="1"/>
          <w:numId w:val="5"/>
        </w:numPr>
        <w:tabs>
          <w:tab w:val="clear" w:pos="840"/>
        </w:tabs>
        <w:ind w:left="1240" w:leftChars="0" w:hanging="420" w:firstLineChars="0"/>
      </w:pPr>
      <w:r>
        <w:rPr>
          <w:rFonts w:hint="eastAsia"/>
          <w:lang w:val="en-US" w:eastAsia="zh-CN"/>
        </w:rPr>
        <w:t>晶体固定与位置调整</w:t>
      </w:r>
    </w:p>
    <w:p w14:paraId="3E108F40">
      <w:pPr>
        <w:pStyle w:val="11"/>
        <w:numPr>
          <w:ilvl w:val="2"/>
          <w:numId w:val="5"/>
        </w:numPr>
        <w:tabs>
          <w:tab w:val="clear" w:pos="1260"/>
        </w:tabs>
        <w:ind w:left="1660" w:leftChars="0" w:hanging="420" w:firstLineChars="0"/>
      </w:pPr>
      <w:r>
        <w:rPr>
          <w:rFonts w:hint="eastAsia"/>
          <w:lang w:val="en-US" w:eastAsia="zh-CN"/>
        </w:rPr>
        <w:t>选取一块大小适宜的晶体，将其挂在环上，如图5。</w:t>
      </w:r>
    </w:p>
    <w:p w14:paraId="2680FA4F">
      <w:pPr>
        <w:pStyle w:val="11"/>
        <w:numPr>
          <w:ilvl w:val="2"/>
          <w:numId w:val="5"/>
        </w:numPr>
        <w:tabs>
          <w:tab w:val="clear" w:pos="1260"/>
        </w:tabs>
        <w:ind w:left="1660" w:leftChars="0" w:hanging="420" w:firstLineChars="0"/>
      </w:pPr>
      <w:r>
        <w:rPr>
          <w:rFonts w:hint="eastAsia"/>
          <w:lang w:val="en-US" w:eastAsia="zh-CN"/>
        </w:rPr>
        <w:t>调节螺丝使得晶体在0°~270°时均在屏幕圆环中心。如图6。</w:t>
      </w:r>
    </w:p>
    <w:p w14:paraId="78F25197">
      <w:pPr>
        <w:pStyle w:val="11"/>
        <w:keepNext w:val="0"/>
        <w:keepLines w:val="0"/>
        <w:pageBreakBefore w:val="0"/>
        <w:widowControl w:val="0"/>
        <w:numPr>
          <w:numId w:val="0"/>
        </w:numPr>
        <w:kinsoku/>
        <w:wordWrap/>
        <w:overflowPunct/>
        <w:topLinePunct w:val="0"/>
        <w:autoSpaceDE/>
        <w:autoSpaceDN/>
        <w:bidi w:val="0"/>
        <w:adjustRightInd w:val="0"/>
        <w:snapToGrid w:val="0"/>
        <w:spacing w:line="240" w:lineRule="atLeast"/>
        <w:jc w:val="center"/>
        <w:textAlignment w:val="auto"/>
        <w:rPr>
          <w:rFonts w:hint="eastAsia" w:eastAsia="宋体"/>
          <w:lang w:eastAsia="zh-CN"/>
        </w:rPr>
      </w:pPr>
      <w:r>
        <w:rPr>
          <w:rFonts w:hint="eastAsia" w:eastAsia="宋体"/>
          <w:lang w:eastAsia="zh-CN"/>
        </w:rPr>
        <w:drawing>
          <wp:inline distT="0" distB="0" distL="114300" distR="114300">
            <wp:extent cx="1762125" cy="1321435"/>
            <wp:effectExtent l="0" t="0" r="3175" b="12065"/>
            <wp:docPr id="5" name="图片 5" descr="2e4c3c10df294132bd1c32c62626a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4c3c10df294132bd1c32c62626ac8f"/>
                    <pic:cNvPicPr>
                      <a:picLocks noChangeAspect="1"/>
                    </pic:cNvPicPr>
                  </pic:nvPicPr>
                  <pic:blipFill>
                    <a:blip r:embed="rId12"/>
                    <a:stretch>
                      <a:fillRect/>
                    </a:stretch>
                  </pic:blipFill>
                  <pic:spPr>
                    <a:xfrm>
                      <a:off x="0" y="0"/>
                      <a:ext cx="1762125" cy="1321435"/>
                    </a:xfrm>
                    <a:prstGeom prst="rect">
                      <a:avLst/>
                    </a:prstGeom>
                  </pic:spPr>
                </pic:pic>
              </a:graphicData>
            </a:graphic>
          </wp:inline>
        </w:drawing>
      </w:r>
    </w:p>
    <w:p w14:paraId="3C414E09">
      <w:pPr>
        <w:pStyle w:val="11"/>
        <w:keepNext w:val="0"/>
        <w:keepLines w:val="0"/>
        <w:pageBreakBefore w:val="0"/>
        <w:widowControl w:val="0"/>
        <w:numPr>
          <w:numId w:val="0"/>
        </w:numPr>
        <w:kinsoku/>
        <w:wordWrap/>
        <w:overflowPunct/>
        <w:topLinePunct w:val="0"/>
        <w:autoSpaceDE/>
        <w:autoSpaceDN/>
        <w:bidi w:val="0"/>
        <w:adjustRightInd w:val="0"/>
        <w:snapToGrid w:val="0"/>
        <w:spacing w:line="240" w:lineRule="atLeast"/>
        <w:jc w:val="center"/>
        <w:textAlignment w:val="auto"/>
        <w:rPr>
          <w:rFonts w:hint="eastAsia"/>
          <w:sz w:val="18"/>
          <w:szCs w:val="18"/>
          <w:lang w:val="en-US" w:eastAsia="zh-CN"/>
        </w:rPr>
      </w:pPr>
      <w:r>
        <w:rPr>
          <w:rFonts w:hint="eastAsia"/>
          <w:sz w:val="18"/>
          <w:szCs w:val="18"/>
          <w:lang w:val="en-US" w:eastAsia="zh-CN"/>
        </w:rPr>
        <w:t>图5 固定完成的晶体</w:t>
      </w:r>
    </w:p>
    <w:p w14:paraId="2ED9EDF5">
      <w:pPr>
        <w:pStyle w:val="11"/>
        <w:keepNext w:val="0"/>
        <w:keepLines w:val="0"/>
        <w:pageBreakBefore w:val="0"/>
        <w:widowControl w:val="0"/>
        <w:numPr>
          <w:numId w:val="0"/>
        </w:numPr>
        <w:kinsoku/>
        <w:wordWrap/>
        <w:overflowPunct/>
        <w:topLinePunct w:val="0"/>
        <w:autoSpaceDE/>
        <w:autoSpaceDN/>
        <w:bidi w:val="0"/>
        <w:adjustRightInd w:val="0"/>
        <w:snapToGrid w:val="0"/>
        <w:spacing w:line="240" w:lineRule="atLeast"/>
        <w:jc w:val="center"/>
        <w:textAlignment w:val="auto"/>
        <w:rPr>
          <w:rFonts w:hint="eastAsia"/>
          <w:sz w:val="18"/>
          <w:szCs w:val="18"/>
          <w:lang w:val="en-US" w:eastAsia="zh-CN"/>
        </w:rPr>
      </w:pPr>
      <w:r>
        <w:rPr>
          <w:rFonts w:hint="eastAsia"/>
          <w:sz w:val="18"/>
          <w:szCs w:val="18"/>
          <w:lang w:val="en-US" w:eastAsia="zh-CN"/>
        </w:rPr>
        <w:drawing>
          <wp:inline distT="0" distB="0" distL="114300" distR="114300">
            <wp:extent cx="1805305" cy="2408555"/>
            <wp:effectExtent l="0" t="0" r="10795" b="4445"/>
            <wp:docPr id="6" name="图片 6" descr="094ccfaa8e7eb0aecbd44edf7f684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4ccfaa8e7eb0aecbd44edf7f684d3e"/>
                    <pic:cNvPicPr>
                      <a:picLocks noChangeAspect="1"/>
                    </pic:cNvPicPr>
                  </pic:nvPicPr>
                  <pic:blipFill>
                    <a:blip r:embed="rId13"/>
                    <a:stretch>
                      <a:fillRect/>
                    </a:stretch>
                  </pic:blipFill>
                  <pic:spPr>
                    <a:xfrm>
                      <a:off x="0" y="0"/>
                      <a:ext cx="1805305" cy="2408555"/>
                    </a:xfrm>
                    <a:prstGeom prst="rect">
                      <a:avLst/>
                    </a:prstGeom>
                  </pic:spPr>
                </pic:pic>
              </a:graphicData>
            </a:graphic>
          </wp:inline>
        </w:drawing>
      </w:r>
    </w:p>
    <w:p w14:paraId="2175B6D9">
      <w:pPr>
        <w:pStyle w:val="11"/>
        <w:keepNext w:val="0"/>
        <w:keepLines w:val="0"/>
        <w:pageBreakBefore w:val="0"/>
        <w:widowControl w:val="0"/>
        <w:numPr>
          <w:numId w:val="0"/>
        </w:numPr>
        <w:kinsoku/>
        <w:wordWrap/>
        <w:overflowPunct/>
        <w:topLinePunct w:val="0"/>
        <w:autoSpaceDE/>
        <w:autoSpaceDN/>
        <w:bidi w:val="0"/>
        <w:adjustRightInd w:val="0"/>
        <w:snapToGrid w:val="0"/>
        <w:spacing w:line="240" w:lineRule="atLeast"/>
        <w:jc w:val="center"/>
        <w:textAlignment w:val="auto"/>
        <w:rPr>
          <w:rFonts w:hint="default"/>
          <w:sz w:val="18"/>
          <w:szCs w:val="18"/>
          <w:lang w:val="en-US" w:eastAsia="zh-CN"/>
        </w:rPr>
      </w:pPr>
      <w:r>
        <w:rPr>
          <w:rFonts w:hint="eastAsia"/>
          <w:sz w:val="18"/>
          <w:szCs w:val="18"/>
          <w:lang w:val="en-US" w:eastAsia="zh-CN"/>
        </w:rPr>
        <w:t>图6 位置调节完成的晶体</w:t>
      </w:r>
    </w:p>
    <w:p w14:paraId="1B5B41D6">
      <w:pPr>
        <w:pStyle w:val="11"/>
        <w:keepNext w:val="0"/>
        <w:keepLines w:val="0"/>
        <w:pageBreakBefore w:val="0"/>
        <w:widowControl w:val="0"/>
        <w:numPr>
          <w:numId w:val="0"/>
        </w:numPr>
        <w:kinsoku/>
        <w:wordWrap/>
        <w:overflowPunct/>
        <w:topLinePunct w:val="0"/>
        <w:autoSpaceDE/>
        <w:autoSpaceDN/>
        <w:bidi w:val="0"/>
        <w:adjustRightInd w:val="0"/>
        <w:snapToGrid w:val="0"/>
        <w:spacing w:line="240" w:lineRule="atLeast"/>
        <w:jc w:val="center"/>
        <w:textAlignment w:val="auto"/>
        <w:rPr>
          <w:rFonts w:hint="default"/>
          <w:lang w:val="en-US" w:eastAsia="zh-CN"/>
        </w:rPr>
      </w:pPr>
    </w:p>
    <w:p w14:paraId="67C2ED19">
      <w:pPr>
        <w:pStyle w:val="11"/>
        <w:numPr>
          <w:ilvl w:val="1"/>
          <w:numId w:val="5"/>
        </w:numPr>
        <w:tabs>
          <w:tab w:val="clear" w:pos="840"/>
        </w:tabs>
        <w:ind w:left="1240" w:leftChars="0" w:hanging="420" w:firstLineChars="0"/>
      </w:pPr>
      <w:r>
        <w:rPr>
          <w:rFonts w:hint="eastAsia"/>
          <w:lang w:val="en-US" w:eastAsia="zh-CN"/>
        </w:rPr>
        <w:t>单晶结构解析：</w:t>
      </w:r>
    </w:p>
    <w:p w14:paraId="5B09CF39">
      <w:pPr>
        <w:pStyle w:val="11"/>
        <w:numPr>
          <w:ilvl w:val="2"/>
          <w:numId w:val="5"/>
        </w:numPr>
        <w:tabs>
          <w:tab w:val="clear" w:pos="1260"/>
        </w:tabs>
        <w:ind w:left="1660" w:leftChars="0" w:hanging="420" w:firstLineChars="0"/>
      </w:pPr>
      <w:r>
        <w:rPr>
          <w:rFonts w:hint="eastAsia"/>
          <w:lang w:val="en-US" w:eastAsia="zh-CN"/>
        </w:rPr>
        <w:t>使用Olex2猜测未知原子的元素种类，不断调整精修，使得最大飘移值不再变化，平均飘移值几乎为0，GOOF值接近于1，wR</w:t>
      </w:r>
      <w:r>
        <w:rPr>
          <w:rFonts w:hint="eastAsia"/>
          <w:vertAlign w:val="subscript"/>
          <w:lang w:val="en-US" w:eastAsia="zh-CN"/>
        </w:rPr>
        <w:t>2</w:t>
      </w:r>
      <w:r>
        <w:rPr>
          <w:rFonts w:hint="eastAsia"/>
          <w:vertAlign w:val="baseline"/>
          <w:lang w:val="en-US" w:eastAsia="zh-CN"/>
        </w:rPr>
        <w:t>&lt;0.15，R</w:t>
      </w:r>
      <w:r>
        <w:rPr>
          <w:rFonts w:hint="eastAsia"/>
          <w:vertAlign w:val="subscript"/>
          <w:lang w:val="en-US" w:eastAsia="zh-CN"/>
        </w:rPr>
        <w:t>1</w:t>
      </w:r>
      <w:r>
        <w:rPr>
          <w:rFonts w:hint="eastAsia"/>
          <w:vertAlign w:val="baseline"/>
          <w:lang w:val="en-US" w:eastAsia="zh-CN"/>
        </w:rPr>
        <w:t>&lt;0.05。</w:t>
      </w:r>
    </w:p>
    <w:p w14:paraId="7E29E90B">
      <w:pPr>
        <w:pStyle w:val="11"/>
        <w:numPr>
          <w:ilvl w:val="0"/>
          <w:numId w:val="5"/>
        </w:numPr>
        <w:ind w:left="0" w:leftChars="0" w:firstLine="400" w:firstLineChars="0"/>
      </w:pPr>
      <w:r>
        <w:rPr>
          <w:rFonts w:hint="eastAsia"/>
          <w:lang w:val="en-US" w:eastAsia="zh-CN"/>
        </w:rPr>
        <w:t>注意事项：</w:t>
      </w:r>
    </w:p>
    <w:p w14:paraId="48D2C709">
      <w:pPr>
        <w:pStyle w:val="11"/>
        <w:numPr>
          <w:ilvl w:val="1"/>
          <w:numId w:val="5"/>
        </w:numPr>
        <w:tabs>
          <w:tab w:val="clear" w:pos="840"/>
        </w:tabs>
        <w:ind w:left="1240" w:leftChars="0" w:hanging="420" w:firstLineChars="0"/>
      </w:pPr>
      <w:r>
        <w:rPr>
          <w:rFonts w:hint="eastAsia"/>
          <w:lang w:val="en-US" w:eastAsia="zh-CN"/>
        </w:rPr>
        <w:t>晶体不宜太大，应为单晶</w:t>
      </w:r>
    </w:p>
    <w:p w14:paraId="11C2B5A5">
      <w:pPr>
        <w:pStyle w:val="11"/>
        <w:numPr>
          <w:ilvl w:val="1"/>
          <w:numId w:val="5"/>
        </w:numPr>
        <w:tabs>
          <w:tab w:val="clear" w:pos="840"/>
        </w:tabs>
        <w:ind w:left="1240" w:leftChars="0" w:hanging="420" w:firstLineChars="0"/>
      </w:pPr>
      <w:r>
        <w:rPr>
          <w:rFonts w:hint="eastAsia"/>
          <w:lang w:val="en-US" w:eastAsia="zh-CN"/>
        </w:rPr>
        <w:t>能不切割尽量不切割，以免影响实验数据</w:t>
      </w:r>
    </w:p>
    <w:p w14:paraId="13E17AD7">
      <w:pPr>
        <w:pStyle w:val="11"/>
        <w:numPr>
          <w:ilvl w:val="1"/>
          <w:numId w:val="5"/>
        </w:numPr>
        <w:tabs>
          <w:tab w:val="clear" w:pos="840"/>
        </w:tabs>
        <w:ind w:left="1240" w:leftChars="0" w:hanging="420" w:firstLineChars="0"/>
      </w:pPr>
      <w:r>
        <w:rPr>
          <w:rFonts w:hint="eastAsia"/>
          <w:lang w:val="en-US" w:eastAsia="zh-CN"/>
        </w:rPr>
        <w:t>晶体最好黏附在环的上部</w:t>
      </w:r>
    </w:p>
    <w:p w14:paraId="415D7E71">
      <w:pPr>
        <w:pStyle w:val="14"/>
        <w:spacing w:before="312"/>
      </w:pPr>
      <w:r>
        <w:rPr>
          <w:rFonts w:hint="eastAsia"/>
        </w:rPr>
        <w:t>5结果与讨论</w:t>
      </w:r>
    </w:p>
    <w:p w14:paraId="31254833">
      <w:pPr>
        <w:pStyle w:val="11"/>
        <w:numPr>
          <w:ilvl w:val="0"/>
          <w:numId w:val="6"/>
        </w:numPr>
        <w:ind w:left="0" w:leftChars="0" w:firstLine="400" w:firstLineChars="0"/>
      </w:pPr>
      <w:r>
        <w:rPr>
          <w:rFonts w:hint="eastAsia"/>
          <w:lang w:val="en-US" w:eastAsia="zh-CN"/>
        </w:rPr>
        <w:t>单晶结构解析</w:t>
      </w:r>
    </w:p>
    <w:p w14:paraId="57789675">
      <w:pPr>
        <w:pStyle w:val="11"/>
        <w:numPr>
          <w:ilvl w:val="1"/>
          <w:numId w:val="6"/>
        </w:numPr>
        <w:tabs>
          <w:tab w:val="clear" w:pos="840"/>
        </w:tabs>
        <w:ind w:left="1240" w:leftChars="0" w:hanging="420" w:firstLineChars="0"/>
      </w:pPr>
      <w:r>
        <w:rPr>
          <w:rFonts w:hint="eastAsia"/>
          <w:lang w:val="en-US" w:eastAsia="zh-CN"/>
        </w:rPr>
        <w:t>K</w:t>
      </w:r>
      <w:r>
        <w:rPr>
          <w:rFonts w:hint="eastAsia"/>
          <w:vertAlign w:val="subscript"/>
          <w:lang w:val="en-US" w:eastAsia="zh-CN"/>
        </w:rPr>
        <w:t>3</w:t>
      </w:r>
      <w:r>
        <w:rPr>
          <w:rFonts w:hint="eastAsia"/>
          <w:lang w:val="en-US" w:eastAsia="zh-CN"/>
        </w:rPr>
        <w:t>[Fe(C</w:t>
      </w:r>
      <w:r>
        <w:rPr>
          <w:rFonts w:hint="eastAsia"/>
          <w:vertAlign w:val="subscript"/>
          <w:lang w:val="en-US" w:eastAsia="zh-CN"/>
        </w:rPr>
        <w:t>2</w:t>
      </w:r>
      <w:r>
        <w:rPr>
          <w:rFonts w:hint="eastAsia"/>
          <w:lang w:val="en-US" w:eastAsia="zh-CN"/>
        </w:rPr>
        <w:t>O</w:t>
      </w:r>
      <w:r>
        <w:rPr>
          <w:rFonts w:hint="eastAsia"/>
          <w:vertAlign w:val="subscript"/>
          <w:lang w:val="en-US" w:eastAsia="zh-CN"/>
        </w:rPr>
        <w:t>4</w:t>
      </w:r>
      <w:r>
        <w:rPr>
          <w:rFonts w:hint="eastAsia"/>
          <w:lang w:val="en-US" w:eastAsia="zh-CN"/>
        </w:rPr>
        <w:t>)</w:t>
      </w:r>
      <w:r>
        <w:rPr>
          <w:rFonts w:hint="eastAsia"/>
          <w:vertAlign w:val="subscript"/>
          <w:lang w:val="en-US" w:eastAsia="zh-CN"/>
        </w:rPr>
        <w:t>3</w:t>
      </w:r>
      <w:r>
        <w:rPr>
          <w:rFonts w:hint="eastAsia"/>
          <w:lang w:val="en-US" w:eastAsia="zh-CN"/>
        </w:rPr>
        <w:t>]结构解析</w:t>
      </w:r>
    </w:p>
    <w:p w14:paraId="67287AA8">
      <w:pPr>
        <w:pStyle w:val="11"/>
        <w:numPr>
          <w:ilvl w:val="2"/>
          <w:numId w:val="6"/>
        </w:numPr>
        <w:tabs>
          <w:tab w:val="clear" w:pos="1260"/>
        </w:tabs>
        <w:ind w:left="1660" w:leftChars="0" w:hanging="420" w:firstLineChars="0"/>
      </w:pPr>
      <w:r>
        <w:rPr>
          <w:rFonts w:hint="eastAsia"/>
          <w:lang w:val="en-US" w:eastAsia="zh-CN"/>
        </w:rPr>
        <w:t>在解析结果中发现有两个氧原子相邻且距离很短，实际为同一个氧原子，出现两个且相近是由于该氧属于水分子，该水分子在晶胞中振动导致衍射结果中出现两个氧原子，将单个氧原子权重设为0.5后，数据正常。结果如附录图7。</w:t>
      </w:r>
    </w:p>
    <w:p w14:paraId="642D705F">
      <w:pPr>
        <w:pStyle w:val="11"/>
        <w:numPr>
          <w:ilvl w:val="1"/>
          <w:numId w:val="6"/>
        </w:numPr>
        <w:tabs>
          <w:tab w:val="clear" w:pos="840"/>
        </w:tabs>
        <w:ind w:left="1240" w:leftChars="0" w:hanging="420" w:firstLineChars="0"/>
      </w:pPr>
      <w:r>
        <w:rPr>
          <w:rFonts w:hint="eastAsia"/>
          <w:lang w:val="en-US" w:eastAsia="zh-CN"/>
        </w:rPr>
        <w:t>KH</w:t>
      </w:r>
      <w:r>
        <w:rPr>
          <w:rFonts w:hint="eastAsia"/>
          <w:vertAlign w:val="subscript"/>
          <w:lang w:val="en-US" w:eastAsia="zh-CN"/>
        </w:rPr>
        <w:t>2</w:t>
      </w:r>
      <w:r>
        <w:rPr>
          <w:rFonts w:hint="eastAsia"/>
          <w:lang w:val="en-US" w:eastAsia="zh-CN"/>
        </w:rPr>
        <w:t>PO</w:t>
      </w:r>
      <w:r>
        <w:rPr>
          <w:rFonts w:hint="eastAsia"/>
          <w:vertAlign w:val="subscript"/>
          <w:lang w:val="en-US" w:eastAsia="zh-CN"/>
        </w:rPr>
        <w:t>4</w:t>
      </w:r>
      <w:r>
        <w:rPr>
          <w:rFonts w:hint="eastAsia"/>
          <w:vertAlign w:val="baseline"/>
          <w:lang w:val="en-US" w:eastAsia="zh-CN"/>
        </w:rPr>
        <w:t>结构解析</w:t>
      </w:r>
    </w:p>
    <w:p w14:paraId="2E377FA7">
      <w:pPr>
        <w:pStyle w:val="11"/>
        <w:numPr>
          <w:ilvl w:val="2"/>
          <w:numId w:val="6"/>
        </w:numPr>
        <w:tabs>
          <w:tab w:val="clear" w:pos="1260"/>
        </w:tabs>
        <w:ind w:left="1660" w:leftChars="0" w:hanging="420" w:firstLineChars="0"/>
      </w:pPr>
      <w:r>
        <w:rPr>
          <w:rFonts w:hint="eastAsia"/>
          <w:vertAlign w:val="baseline"/>
          <w:lang w:val="en-US" w:eastAsia="zh-CN"/>
        </w:rPr>
        <w:t>解析过程中氢原子出现了与</w:t>
      </w:r>
      <w:r>
        <w:rPr>
          <w:rFonts w:hint="eastAsia"/>
          <w:lang w:val="en-US" w:eastAsia="zh-CN"/>
        </w:rPr>
        <w:t>K</w:t>
      </w:r>
      <w:r>
        <w:rPr>
          <w:rFonts w:hint="eastAsia"/>
          <w:vertAlign w:val="subscript"/>
          <w:lang w:val="en-US" w:eastAsia="zh-CN"/>
        </w:rPr>
        <w:t>3</w:t>
      </w:r>
      <w:r>
        <w:rPr>
          <w:rFonts w:hint="eastAsia"/>
          <w:lang w:val="en-US" w:eastAsia="zh-CN"/>
        </w:rPr>
        <w:t>[Fe(C</w:t>
      </w:r>
      <w:r>
        <w:rPr>
          <w:rFonts w:hint="eastAsia"/>
          <w:vertAlign w:val="subscript"/>
          <w:lang w:val="en-US" w:eastAsia="zh-CN"/>
        </w:rPr>
        <w:t>2</w:t>
      </w:r>
      <w:r>
        <w:rPr>
          <w:rFonts w:hint="eastAsia"/>
          <w:lang w:val="en-US" w:eastAsia="zh-CN"/>
        </w:rPr>
        <w:t>O</w:t>
      </w:r>
      <w:r>
        <w:rPr>
          <w:rFonts w:hint="eastAsia"/>
          <w:vertAlign w:val="subscript"/>
          <w:lang w:val="en-US" w:eastAsia="zh-CN"/>
        </w:rPr>
        <w:t>4</w:t>
      </w:r>
      <w:r>
        <w:rPr>
          <w:rFonts w:hint="eastAsia"/>
          <w:lang w:val="en-US" w:eastAsia="zh-CN"/>
        </w:rPr>
        <w:t>)</w:t>
      </w:r>
      <w:r>
        <w:rPr>
          <w:rFonts w:hint="eastAsia"/>
          <w:vertAlign w:val="subscript"/>
          <w:lang w:val="en-US" w:eastAsia="zh-CN"/>
        </w:rPr>
        <w:t>3</w:t>
      </w:r>
      <w:r>
        <w:rPr>
          <w:rFonts w:hint="eastAsia"/>
          <w:lang w:val="en-US" w:eastAsia="zh-CN"/>
        </w:rPr>
        <w:t>]中结晶水氧原子相同的情况。</w:t>
      </w:r>
    </w:p>
    <w:p w14:paraId="3BF2122F">
      <w:pPr>
        <w:pStyle w:val="11"/>
        <w:numPr>
          <w:ilvl w:val="2"/>
          <w:numId w:val="6"/>
        </w:numPr>
        <w:tabs>
          <w:tab w:val="clear" w:pos="1260"/>
        </w:tabs>
        <w:ind w:left="1660" w:leftChars="0" w:hanging="420" w:firstLineChars="0"/>
      </w:pPr>
      <w:r>
        <w:rPr>
          <w:rFonts w:hint="eastAsia"/>
          <w:lang w:val="en-US" w:eastAsia="zh-CN"/>
        </w:rPr>
        <w:t>使用grow命令使其形成堆叠结构，结果如附录图8，图9。</w:t>
      </w:r>
      <w:r>
        <w:rPr>
          <w:rFonts w:hint="eastAsia"/>
        </w:rPr>
        <w:tab/>
      </w:r>
    </w:p>
    <w:p w14:paraId="6DBC9065">
      <w:pPr>
        <w:pStyle w:val="14"/>
        <w:spacing w:before="312"/>
      </w:pPr>
      <w:r>
        <w:rPr>
          <w:rFonts w:hint="eastAsia"/>
        </w:rPr>
        <w:t>6 思考题解答</w:t>
      </w:r>
    </w:p>
    <w:p w14:paraId="09048367">
      <w:pPr>
        <w:pStyle w:val="11"/>
        <w:ind w:firstLine="420"/>
        <w:rPr>
          <w:rFonts w:hint="eastAsia" w:eastAsia="宋体"/>
          <w:lang w:val="en-US" w:eastAsia="zh-CN"/>
        </w:rPr>
      </w:pPr>
      <w:r>
        <w:rPr>
          <w:rFonts w:hint="eastAsia"/>
          <w:lang w:val="en-US" w:eastAsia="zh-CN"/>
        </w:rPr>
        <w:t>无</w:t>
      </w:r>
    </w:p>
    <w:p w14:paraId="6F1C2F56">
      <w:pPr>
        <w:pStyle w:val="14"/>
        <w:spacing w:before="312"/>
        <w:rPr>
          <w:rFonts w:hint="eastAsia"/>
        </w:rPr>
      </w:pPr>
      <w:r>
        <w:rPr>
          <w:rFonts w:hint="eastAsia"/>
        </w:rPr>
        <w:t>7 附录</w:t>
      </w:r>
    </w:p>
    <w:p w14:paraId="1441662B">
      <w:pPr>
        <w:pStyle w:val="14"/>
        <w:spacing w:before="312"/>
        <w:jc w:val="center"/>
        <w:rPr>
          <w:rFonts w:hint="eastAsia" w:eastAsia="宋体"/>
          <w:lang w:eastAsia="zh-CN"/>
        </w:rPr>
      </w:pPr>
      <w:r>
        <w:rPr>
          <w:rFonts w:hint="eastAsia" w:eastAsia="宋体"/>
          <w:lang w:eastAsia="zh-CN"/>
        </w:rPr>
        <w:drawing>
          <wp:inline distT="0" distB="0" distL="114300" distR="114300">
            <wp:extent cx="3657600" cy="2511425"/>
            <wp:effectExtent l="0" t="0" r="0" b="3175"/>
            <wp:docPr id="7" name="图片 7" descr="Fe_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_auto"/>
                    <pic:cNvPicPr>
                      <a:picLocks noChangeAspect="1"/>
                    </pic:cNvPicPr>
                  </pic:nvPicPr>
                  <pic:blipFill>
                    <a:blip r:embed="rId14"/>
                    <a:stretch>
                      <a:fillRect/>
                    </a:stretch>
                  </pic:blipFill>
                  <pic:spPr>
                    <a:xfrm>
                      <a:off x="0" y="0"/>
                      <a:ext cx="3657600" cy="2511425"/>
                    </a:xfrm>
                    <a:prstGeom prst="rect">
                      <a:avLst/>
                    </a:prstGeom>
                  </pic:spPr>
                </pic:pic>
              </a:graphicData>
            </a:graphic>
          </wp:inline>
        </w:drawing>
      </w:r>
    </w:p>
    <w:p w14:paraId="74DC07B6">
      <w:pPr>
        <w:pStyle w:val="11"/>
        <w:keepNext w:val="0"/>
        <w:keepLines w:val="0"/>
        <w:pageBreakBefore w:val="0"/>
        <w:widowControl w:val="0"/>
        <w:kinsoku/>
        <w:wordWrap/>
        <w:overflowPunct/>
        <w:topLinePunct w:val="0"/>
        <w:autoSpaceDE/>
        <w:autoSpaceDN/>
        <w:bidi w:val="0"/>
        <w:adjustRightInd w:val="0"/>
        <w:snapToGrid w:val="0"/>
        <w:spacing w:line="240" w:lineRule="atLeast"/>
        <w:ind w:firstLine="420"/>
        <w:jc w:val="center"/>
        <w:textAlignment w:val="auto"/>
        <w:rPr>
          <w:rFonts w:hint="eastAsia"/>
          <w:sz w:val="18"/>
          <w:szCs w:val="18"/>
          <w:lang w:val="en-US" w:eastAsia="zh-CN"/>
        </w:rPr>
      </w:pPr>
      <w:r>
        <w:rPr>
          <w:rFonts w:hint="eastAsia"/>
          <w:sz w:val="18"/>
          <w:szCs w:val="18"/>
          <w:lang w:val="en-US" w:eastAsia="zh-CN"/>
        </w:rPr>
        <w:t>图7 K</w:t>
      </w:r>
      <w:r>
        <w:rPr>
          <w:rFonts w:hint="eastAsia"/>
          <w:sz w:val="18"/>
          <w:szCs w:val="18"/>
          <w:vertAlign w:val="subscript"/>
          <w:lang w:val="en-US" w:eastAsia="zh-CN"/>
        </w:rPr>
        <w:t>3</w:t>
      </w:r>
      <w:r>
        <w:rPr>
          <w:rFonts w:hint="eastAsia"/>
          <w:sz w:val="18"/>
          <w:szCs w:val="18"/>
          <w:lang w:val="en-US" w:eastAsia="zh-CN"/>
        </w:rPr>
        <w:t>[Fe(C</w:t>
      </w:r>
      <w:r>
        <w:rPr>
          <w:rFonts w:hint="eastAsia"/>
          <w:sz w:val="18"/>
          <w:szCs w:val="18"/>
          <w:vertAlign w:val="subscript"/>
          <w:lang w:val="en-US" w:eastAsia="zh-CN"/>
        </w:rPr>
        <w:t>2</w:t>
      </w:r>
      <w:r>
        <w:rPr>
          <w:rFonts w:hint="eastAsia"/>
          <w:sz w:val="18"/>
          <w:szCs w:val="18"/>
          <w:lang w:val="en-US" w:eastAsia="zh-CN"/>
        </w:rPr>
        <w:t>O</w:t>
      </w:r>
      <w:r>
        <w:rPr>
          <w:rFonts w:hint="eastAsia"/>
          <w:sz w:val="18"/>
          <w:szCs w:val="18"/>
          <w:vertAlign w:val="subscript"/>
          <w:lang w:val="en-US" w:eastAsia="zh-CN"/>
        </w:rPr>
        <w:t>4</w:t>
      </w:r>
      <w:r>
        <w:rPr>
          <w:rFonts w:hint="eastAsia"/>
          <w:sz w:val="18"/>
          <w:szCs w:val="18"/>
          <w:lang w:val="en-US" w:eastAsia="zh-CN"/>
        </w:rPr>
        <w:t>)</w:t>
      </w:r>
      <w:r>
        <w:rPr>
          <w:rFonts w:hint="eastAsia"/>
          <w:sz w:val="18"/>
          <w:szCs w:val="18"/>
          <w:vertAlign w:val="subscript"/>
          <w:lang w:val="en-US" w:eastAsia="zh-CN"/>
        </w:rPr>
        <w:t>3</w:t>
      </w:r>
      <w:r>
        <w:rPr>
          <w:rFonts w:hint="eastAsia"/>
          <w:sz w:val="18"/>
          <w:szCs w:val="18"/>
          <w:lang w:val="en-US" w:eastAsia="zh-CN"/>
        </w:rPr>
        <w:t>]结构解析</w:t>
      </w:r>
    </w:p>
    <w:p w14:paraId="2E807718">
      <w:pPr>
        <w:pStyle w:val="11"/>
        <w:keepNext w:val="0"/>
        <w:keepLines w:val="0"/>
        <w:pageBreakBefore w:val="0"/>
        <w:widowControl w:val="0"/>
        <w:kinsoku/>
        <w:wordWrap/>
        <w:overflowPunct/>
        <w:topLinePunct w:val="0"/>
        <w:autoSpaceDE/>
        <w:autoSpaceDN/>
        <w:bidi w:val="0"/>
        <w:adjustRightInd w:val="0"/>
        <w:snapToGrid w:val="0"/>
        <w:spacing w:line="240" w:lineRule="atLeast"/>
        <w:ind w:firstLine="420"/>
        <w:jc w:val="center"/>
        <w:textAlignment w:val="auto"/>
        <w:rPr>
          <w:rFonts w:hint="eastAsia"/>
          <w:sz w:val="18"/>
          <w:szCs w:val="18"/>
          <w:lang w:val="en-US" w:eastAsia="zh-CN"/>
        </w:rPr>
      </w:pPr>
    </w:p>
    <w:p w14:paraId="75923927">
      <w:pPr>
        <w:pStyle w:val="11"/>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sz w:val="18"/>
          <w:szCs w:val="18"/>
          <w:lang w:val="en-US" w:eastAsia="zh-CN"/>
        </w:rPr>
      </w:pPr>
      <w:r>
        <w:rPr>
          <w:rFonts w:hint="eastAsia"/>
          <w:sz w:val="18"/>
          <w:szCs w:val="18"/>
          <w:lang w:val="en-US" w:eastAsia="zh-CN"/>
        </w:rPr>
        <w:drawing>
          <wp:inline distT="0" distB="0" distL="114300" distR="114300">
            <wp:extent cx="3657600" cy="2511425"/>
            <wp:effectExtent l="0" t="0" r="0" b="3175"/>
            <wp:docPr id="8" name="图片 8" descr="kdp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kdp_a"/>
                    <pic:cNvPicPr>
                      <a:picLocks noChangeAspect="1"/>
                    </pic:cNvPicPr>
                  </pic:nvPicPr>
                  <pic:blipFill>
                    <a:blip r:embed="rId15"/>
                    <a:stretch>
                      <a:fillRect/>
                    </a:stretch>
                  </pic:blipFill>
                  <pic:spPr>
                    <a:xfrm>
                      <a:off x="0" y="0"/>
                      <a:ext cx="3657600" cy="2511425"/>
                    </a:xfrm>
                    <a:prstGeom prst="rect">
                      <a:avLst/>
                    </a:prstGeom>
                  </pic:spPr>
                </pic:pic>
              </a:graphicData>
            </a:graphic>
          </wp:inline>
        </w:drawing>
      </w:r>
    </w:p>
    <w:p w14:paraId="2ADD5F7B">
      <w:pPr>
        <w:pStyle w:val="11"/>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sz w:val="18"/>
          <w:szCs w:val="18"/>
          <w:lang w:val="en-US" w:eastAsia="zh-CN"/>
        </w:rPr>
      </w:pPr>
      <w:r>
        <w:rPr>
          <w:rFonts w:hint="eastAsia"/>
          <w:sz w:val="18"/>
          <w:szCs w:val="18"/>
          <w:lang w:val="en-US" w:eastAsia="zh-CN"/>
        </w:rPr>
        <w:t>图8  KH</w:t>
      </w:r>
      <w:r>
        <w:rPr>
          <w:rFonts w:hint="eastAsia"/>
          <w:sz w:val="18"/>
          <w:szCs w:val="18"/>
          <w:vertAlign w:val="subscript"/>
          <w:lang w:val="en-US" w:eastAsia="zh-CN"/>
        </w:rPr>
        <w:t>2</w:t>
      </w:r>
      <w:r>
        <w:rPr>
          <w:rFonts w:hint="eastAsia"/>
          <w:sz w:val="18"/>
          <w:szCs w:val="18"/>
          <w:lang w:val="en-US" w:eastAsia="zh-CN"/>
        </w:rPr>
        <w:t>PO</w:t>
      </w:r>
      <w:r>
        <w:rPr>
          <w:rFonts w:hint="eastAsia"/>
          <w:sz w:val="18"/>
          <w:szCs w:val="18"/>
          <w:vertAlign w:val="subscript"/>
          <w:lang w:val="en-US" w:eastAsia="zh-CN"/>
        </w:rPr>
        <w:t>4</w:t>
      </w:r>
      <w:r>
        <w:rPr>
          <w:rFonts w:hint="eastAsia"/>
          <w:sz w:val="18"/>
          <w:szCs w:val="18"/>
          <w:vertAlign w:val="baseline"/>
          <w:lang w:val="en-US" w:eastAsia="zh-CN"/>
        </w:rPr>
        <w:t>结构（沿a轴）</w:t>
      </w:r>
    </w:p>
    <w:p w14:paraId="45D38809">
      <w:pPr>
        <w:pStyle w:val="11"/>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sz w:val="18"/>
          <w:szCs w:val="18"/>
          <w:lang w:val="en-US" w:eastAsia="zh-CN"/>
        </w:rPr>
      </w:pPr>
      <w:r>
        <w:rPr>
          <w:rFonts w:hint="eastAsia"/>
          <w:sz w:val="18"/>
          <w:szCs w:val="18"/>
          <w:lang w:val="en-US" w:eastAsia="zh-CN"/>
        </w:rPr>
        <w:drawing>
          <wp:inline distT="0" distB="0" distL="114300" distR="114300">
            <wp:extent cx="3657600" cy="2511425"/>
            <wp:effectExtent l="0" t="0" r="0" b="3175"/>
            <wp:docPr id="9" name="图片 9" descr="kdp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kdp_c"/>
                    <pic:cNvPicPr>
                      <a:picLocks noChangeAspect="1"/>
                    </pic:cNvPicPr>
                  </pic:nvPicPr>
                  <pic:blipFill>
                    <a:blip r:embed="rId16"/>
                    <a:stretch>
                      <a:fillRect/>
                    </a:stretch>
                  </pic:blipFill>
                  <pic:spPr>
                    <a:xfrm>
                      <a:off x="0" y="0"/>
                      <a:ext cx="3657600" cy="2511425"/>
                    </a:xfrm>
                    <a:prstGeom prst="rect">
                      <a:avLst/>
                    </a:prstGeom>
                  </pic:spPr>
                </pic:pic>
              </a:graphicData>
            </a:graphic>
          </wp:inline>
        </w:drawing>
      </w:r>
      <w:bookmarkStart w:id="0" w:name="_GoBack"/>
      <w:bookmarkEnd w:id="0"/>
    </w:p>
    <w:p w14:paraId="5FC1A966">
      <w:pPr>
        <w:pStyle w:val="11"/>
        <w:keepNext w:val="0"/>
        <w:keepLines w:val="0"/>
        <w:pageBreakBefore w:val="0"/>
        <w:widowControl w:val="0"/>
        <w:kinsoku/>
        <w:wordWrap/>
        <w:overflowPunct/>
        <w:topLinePunct w:val="0"/>
        <w:autoSpaceDE/>
        <w:autoSpaceDN/>
        <w:bidi w:val="0"/>
        <w:adjustRightInd w:val="0"/>
        <w:snapToGrid w:val="0"/>
        <w:spacing w:line="240" w:lineRule="atLeast"/>
        <w:ind w:firstLine="420"/>
        <w:jc w:val="center"/>
        <w:textAlignment w:val="auto"/>
        <w:rPr>
          <w:rFonts w:hint="default"/>
          <w:lang w:val="en-US" w:eastAsia="zh-CN"/>
        </w:rPr>
      </w:pPr>
      <w:r>
        <w:rPr>
          <w:rFonts w:hint="eastAsia"/>
          <w:sz w:val="18"/>
          <w:szCs w:val="18"/>
          <w:lang w:val="en-US" w:eastAsia="zh-CN"/>
        </w:rPr>
        <w:t>图9  KH</w:t>
      </w:r>
      <w:r>
        <w:rPr>
          <w:rFonts w:hint="eastAsia"/>
          <w:sz w:val="18"/>
          <w:szCs w:val="18"/>
          <w:vertAlign w:val="subscript"/>
          <w:lang w:val="en-US" w:eastAsia="zh-CN"/>
        </w:rPr>
        <w:t>2</w:t>
      </w:r>
      <w:r>
        <w:rPr>
          <w:rFonts w:hint="eastAsia"/>
          <w:sz w:val="18"/>
          <w:szCs w:val="18"/>
          <w:lang w:val="en-US" w:eastAsia="zh-CN"/>
        </w:rPr>
        <w:t>PO</w:t>
      </w:r>
      <w:r>
        <w:rPr>
          <w:rFonts w:hint="eastAsia"/>
          <w:sz w:val="18"/>
          <w:szCs w:val="18"/>
          <w:vertAlign w:val="subscript"/>
          <w:lang w:val="en-US" w:eastAsia="zh-CN"/>
        </w:rPr>
        <w:t>4</w:t>
      </w:r>
      <w:r>
        <w:rPr>
          <w:rFonts w:hint="eastAsia"/>
          <w:sz w:val="18"/>
          <w:szCs w:val="18"/>
          <w:vertAlign w:val="baseline"/>
          <w:lang w:val="en-US" w:eastAsia="zh-CN"/>
        </w:rPr>
        <w:t>结构（沿c轴）</w:t>
      </w:r>
    </w:p>
    <w:sectPr>
      <w:type w:val="continuous"/>
      <w:pgSz w:w="11907" w:h="16840"/>
      <w:pgMar w:top="1417" w:right="1417" w:bottom="1417" w:left="1417" w:header="851" w:footer="357"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dvPSTim">
    <w:altName w:val="微软雅黑"/>
    <w:panose1 w:val="00000000000000000000"/>
    <w:charset w:val="86"/>
    <w:family w:val="auto"/>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A8195">
    <w:pPr>
      <w:framePr w:wrap="around" w:vAnchor="text" w:hAnchor="margin" w:xAlign="right" w:y="1"/>
      <w:snapToGrid w:val="0"/>
      <w:spacing w:line="320" w:lineRule="atLeast"/>
      <w:jc w:val="left"/>
      <w:rPr>
        <w:rStyle w:val="9"/>
        <w:sz w:val="18"/>
        <w:szCs w:val="18"/>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0D89EE46">
    <w:pPr>
      <w:spacing w:line="320" w:lineRule="atLeast"/>
      <w:ind w:right="360" w:firstLine="360"/>
      <w:jc w:val="center"/>
      <w:rPr>
        <w:rFonts w:ascii="华文行楷" w:eastAsia="华文行楷"/>
        <w:sz w:val="15"/>
        <w:szCs w:val="15"/>
      </w:rPr>
    </w:pPr>
    <w:r>
      <w:rPr>
        <w:rFonts w:hint="eastAsia" w:ascii="华文行楷" w:eastAsia="华文行楷"/>
      </w:rPr>
      <w:t>———————————————————————————————————————</w:t>
    </w:r>
  </w:p>
  <w:p w14:paraId="7F86AF4B">
    <w:pPr>
      <w:spacing w:line="320" w:lineRule="atLeast"/>
      <w:ind w:right="360" w:firstLine="360"/>
      <w:jc w:val="center"/>
      <w:rPr>
        <w:rFonts w:ascii="楷体_GB2312" w:eastAsia="楷体_GB2312"/>
        <w:sz w:val="15"/>
        <w:szCs w:val="15"/>
      </w:rPr>
    </w:pPr>
    <w:r>
      <w:rPr>
        <w:rFonts w:hint="eastAsia" w:ascii="华文行楷" w:eastAsia="华文行楷"/>
        <w:sz w:val="15"/>
        <w:szCs w:val="15"/>
      </w:rPr>
      <w:t xml:space="preserve">化学国家级实验教学示范中心(厦门大学)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D298B">
    <w:pPr>
      <w:framePr w:wrap="around" w:vAnchor="text" w:hAnchor="margin" w:xAlign="right" w:y="1"/>
      <w:snapToGrid w:val="0"/>
      <w:spacing w:line="320" w:lineRule="atLeast"/>
      <w:jc w:val="left"/>
      <w:rPr>
        <w:rStyle w:val="9"/>
        <w:sz w:val="18"/>
        <w:szCs w:val="18"/>
      </w:rPr>
    </w:pPr>
    <w:r>
      <w:rPr>
        <w:rStyle w:val="9"/>
      </w:rPr>
      <w:fldChar w:fldCharType="begin"/>
    </w:r>
    <w:r>
      <w:rPr>
        <w:rStyle w:val="9"/>
      </w:rPr>
      <w:instrText xml:space="preserve">PAGE  </w:instrText>
    </w:r>
    <w:r>
      <w:rPr>
        <w:rStyle w:val="9"/>
      </w:rPr>
      <w:fldChar w:fldCharType="end"/>
    </w:r>
  </w:p>
  <w:p w14:paraId="327F883F">
    <w:pPr>
      <w:snapToGrid w:val="0"/>
      <w:spacing w:line="320" w:lineRule="atLeast"/>
      <w:ind w:right="360" w:firstLine="360"/>
      <w:jc w:val="left"/>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80F387"/>
    <w:multiLevelType w:val="multilevel"/>
    <w:tmpl w:val="C980F387"/>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
    <w:nsid w:val="CBBB4403"/>
    <w:multiLevelType w:val="singleLevel"/>
    <w:tmpl w:val="CBBB4403"/>
    <w:lvl w:ilvl="0" w:tentative="0">
      <w:start w:val="1"/>
      <w:numFmt w:val="decimalEnclosedCircleChinese"/>
      <w:suff w:val="nothing"/>
      <w:lvlText w:val="%1　"/>
      <w:lvlJc w:val="left"/>
      <w:pPr>
        <w:ind w:left="0" w:firstLine="400"/>
      </w:pPr>
      <w:rPr>
        <w:rFonts w:hint="eastAsia"/>
      </w:rPr>
    </w:lvl>
  </w:abstractNum>
  <w:abstractNum w:abstractNumId="2">
    <w:nsid w:val="F4D790AC"/>
    <w:multiLevelType w:val="singleLevel"/>
    <w:tmpl w:val="F4D790AC"/>
    <w:lvl w:ilvl="0" w:tentative="0">
      <w:start w:val="1"/>
      <w:numFmt w:val="decimalEnclosedCircleChinese"/>
      <w:suff w:val="nothing"/>
      <w:lvlText w:val="%1　"/>
      <w:lvlJc w:val="left"/>
      <w:pPr>
        <w:ind w:left="0" w:firstLine="400"/>
      </w:pPr>
      <w:rPr>
        <w:rFonts w:hint="eastAsia"/>
      </w:rPr>
    </w:lvl>
  </w:abstractNum>
  <w:abstractNum w:abstractNumId="3">
    <w:nsid w:val="04270879"/>
    <w:multiLevelType w:val="multilevel"/>
    <w:tmpl w:val="04270879"/>
    <w:lvl w:ilvl="0" w:tentative="0">
      <w:start w:val="1"/>
      <w:numFmt w:val="chineseCountingThousand"/>
      <w:pStyle w:val="12"/>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95B4A40"/>
    <w:multiLevelType w:val="multilevel"/>
    <w:tmpl w:val="095B4A40"/>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5">
    <w:nsid w:val="578C22F4"/>
    <w:multiLevelType w:val="multilevel"/>
    <w:tmpl w:val="578C22F4"/>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JjOTQxYzhjODMyMDAzZmE0MDJkMWFkNmJlNDkwYTUifQ=="/>
  </w:docVars>
  <w:rsids>
    <w:rsidRoot w:val="004C16A5"/>
    <w:rsid w:val="00001EB1"/>
    <w:rsid w:val="000A18B1"/>
    <w:rsid w:val="000D028A"/>
    <w:rsid w:val="000D349F"/>
    <w:rsid w:val="00111927"/>
    <w:rsid w:val="00120BFA"/>
    <w:rsid w:val="00121688"/>
    <w:rsid w:val="001369B3"/>
    <w:rsid w:val="00150B3E"/>
    <w:rsid w:val="0015787D"/>
    <w:rsid w:val="00164A1E"/>
    <w:rsid w:val="00182E22"/>
    <w:rsid w:val="001A7E67"/>
    <w:rsid w:val="001C20FF"/>
    <w:rsid w:val="001D40C3"/>
    <w:rsid w:val="002176ED"/>
    <w:rsid w:val="00225C95"/>
    <w:rsid w:val="002334C9"/>
    <w:rsid w:val="002410E3"/>
    <w:rsid w:val="0024578F"/>
    <w:rsid w:val="00247599"/>
    <w:rsid w:val="0025796F"/>
    <w:rsid w:val="0029156F"/>
    <w:rsid w:val="002B7AB9"/>
    <w:rsid w:val="003045D6"/>
    <w:rsid w:val="003312F6"/>
    <w:rsid w:val="00336DA9"/>
    <w:rsid w:val="00362609"/>
    <w:rsid w:val="00365C4E"/>
    <w:rsid w:val="003F51B7"/>
    <w:rsid w:val="004006C8"/>
    <w:rsid w:val="004B5817"/>
    <w:rsid w:val="004C16A5"/>
    <w:rsid w:val="004E318F"/>
    <w:rsid w:val="00511F32"/>
    <w:rsid w:val="00520EC2"/>
    <w:rsid w:val="00574D86"/>
    <w:rsid w:val="005E22D1"/>
    <w:rsid w:val="005E2746"/>
    <w:rsid w:val="005E6E89"/>
    <w:rsid w:val="00643280"/>
    <w:rsid w:val="0066373A"/>
    <w:rsid w:val="006835B9"/>
    <w:rsid w:val="006C1270"/>
    <w:rsid w:val="006D4F86"/>
    <w:rsid w:val="006D4F8E"/>
    <w:rsid w:val="006F4F31"/>
    <w:rsid w:val="00721BF3"/>
    <w:rsid w:val="00736BF6"/>
    <w:rsid w:val="0075013B"/>
    <w:rsid w:val="007A63CC"/>
    <w:rsid w:val="007B1DD0"/>
    <w:rsid w:val="007C7835"/>
    <w:rsid w:val="007E1EA0"/>
    <w:rsid w:val="007F1D3B"/>
    <w:rsid w:val="00806F47"/>
    <w:rsid w:val="008230C4"/>
    <w:rsid w:val="008310BA"/>
    <w:rsid w:val="008632F0"/>
    <w:rsid w:val="008C07BF"/>
    <w:rsid w:val="00952436"/>
    <w:rsid w:val="009A0508"/>
    <w:rsid w:val="009A7694"/>
    <w:rsid w:val="009C3126"/>
    <w:rsid w:val="009C66A5"/>
    <w:rsid w:val="009D1B74"/>
    <w:rsid w:val="009E6F84"/>
    <w:rsid w:val="00A40903"/>
    <w:rsid w:val="00A41719"/>
    <w:rsid w:val="00AA62FB"/>
    <w:rsid w:val="00AD4251"/>
    <w:rsid w:val="00B42BA3"/>
    <w:rsid w:val="00B95084"/>
    <w:rsid w:val="00BA1D5E"/>
    <w:rsid w:val="00BB62EA"/>
    <w:rsid w:val="00BD521F"/>
    <w:rsid w:val="00BF3B00"/>
    <w:rsid w:val="00C00FA5"/>
    <w:rsid w:val="00C04865"/>
    <w:rsid w:val="00C05705"/>
    <w:rsid w:val="00C266F0"/>
    <w:rsid w:val="00C41ED4"/>
    <w:rsid w:val="00C51DF5"/>
    <w:rsid w:val="00CB7732"/>
    <w:rsid w:val="00D34645"/>
    <w:rsid w:val="00D45932"/>
    <w:rsid w:val="00D61BC8"/>
    <w:rsid w:val="00D900C1"/>
    <w:rsid w:val="00DE11B1"/>
    <w:rsid w:val="00E0520D"/>
    <w:rsid w:val="00E47BC8"/>
    <w:rsid w:val="00E735EB"/>
    <w:rsid w:val="00EC1E34"/>
    <w:rsid w:val="00EC49BC"/>
    <w:rsid w:val="00F077CA"/>
    <w:rsid w:val="00F16E18"/>
    <w:rsid w:val="00F873FF"/>
    <w:rsid w:val="00FD4F5D"/>
    <w:rsid w:val="1782260F"/>
    <w:rsid w:val="20560AF0"/>
    <w:rsid w:val="371371EE"/>
    <w:rsid w:val="3A740CF0"/>
    <w:rsid w:val="3F9904AC"/>
    <w:rsid w:val="61E72F8F"/>
    <w:rsid w:val="702E5671"/>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8820"/>
      </w:tabs>
      <w:spacing w:line="320" w:lineRule="exact"/>
      <w:jc w:val="both"/>
    </w:pPr>
    <w:rPr>
      <w:rFonts w:ascii="Times New Roman" w:hAnsi="Times New Roman" w:eastAsia="宋体" w:cs="Times New Roman"/>
      <w:color w:val="000000"/>
      <w:kern w:val="2"/>
      <w:sz w:val="21"/>
      <w:szCs w:val="24"/>
      <w:lang w:val="en-US" w:eastAsia="zh-CN" w:bidi="ar-SA"/>
    </w:rPr>
  </w:style>
  <w:style w:type="paragraph" w:styleId="2">
    <w:name w:val="heading 1"/>
    <w:basedOn w:val="1"/>
    <w:next w:val="1"/>
    <w:link w:val="10"/>
    <w:qFormat/>
    <w:uiPriority w:val="0"/>
    <w:pPr>
      <w:keepNext/>
      <w:keepLines/>
      <w:adjustRightInd w:val="0"/>
      <w:snapToGrid w:val="0"/>
      <w:spacing w:before="100" w:beforeLines="100" w:line="0" w:lineRule="atLeast"/>
      <w:outlineLvl w:val="0"/>
    </w:pPr>
    <w:rPr>
      <w:kern w:val="44"/>
      <w:sz w:val="28"/>
    </w:rPr>
  </w:style>
  <w:style w:type="paragraph" w:styleId="3">
    <w:name w:val="heading 2"/>
    <w:basedOn w:val="1"/>
    <w:next w:val="1"/>
    <w:unhideWhenUsed/>
    <w:qFormat/>
    <w:uiPriority w:val="0"/>
    <w:pPr>
      <w:tabs>
        <w:tab w:val="left" w:pos="0"/>
        <w:tab w:val="clear" w:pos="8820"/>
      </w:tabs>
      <w:outlineLvl w:val="1"/>
    </w:pPr>
    <w:rPr>
      <w:rFonts w:eastAsia="黑体"/>
      <w:b/>
      <w:bCs/>
      <w:szCs w:val="21"/>
    </w:rPr>
  </w:style>
  <w:style w:type="paragraph" w:styleId="4">
    <w:name w:val="heading 3"/>
    <w:basedOn w:val="1"/>
    <w:next w:val="1"/>
    <w:unhideWhenUsed/>
    <w:qFormat/>
    <w:uiPriority w:val="0"/>
    <w:pPr>
      <w:keepNext/>
      <w:keepLines/>
      <w:outlineLvl w:val="2"/>
    </w:p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uiPriority w:val="0"/>
    <w:pPr>
      <w:tabs>
        <w:tab w:val="center" w:pos="4153"/>
        <w:tab w:val="right" w:pos="8306"/>
        <w:tab w:val="clear" w:pos="8820"/>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 w:val="clear" w:pos="8820"/>
      </w:tabs>
      <w:snapToGrid w:val="0"/>
      <w:jc w:val="center"/>
    </w:pPr>
    <w:rPr>
      <w:sz w:val="18"/>
      <w:szCs w:val="18"/>
    </w:rPr>
  </w:style>
  <w:style w:type="character" w:styleId="9">
    <w:name w:val="page number"/>
    <w:basedOn w:val="8"/>
    <w:qFormat/>
    <w:uiPriority w:val="0"/>
  </w:style>
  <w:style w:type="character" w:customStyle="1" w:styleId="10">
    <w:name w:val="标题 1 字符"/>
    <w:link w:val="2"/>
    <w:qFormat/>
    <w:uiPriority w:val="0"/>
    <w:rPr>
      <w:color w:val="000000"/>
      <w:kern w:val="44"/>
      <w:sz w:val="28"/>
      <w:szCs w:val="24"/>
    </w:rPr>
  </w:style>
  <w:style w:type="paragraph" w:customStyle="1" w:styleId="11">
    <w:name w:val="报告正文"/>
    <w:basedOn w:val="1"/>
    <w:qFormat/>
    <w:uiPriority w:val="0"/>
    <w:pPr>
      <w:adjustRightInd w:val="0"/>
      <w:snapToGrid w:val="0"/>
      <w:ind w:firstLine="200" w:firstLineChars="200"/>
    </w:pPr>
  </w:style>
  <w:style w:type="paragraph" w:customStyle="1" w:styleId="12">
    <w:name w:val="报告标题"/>
    <w:basedOn w:val="2"/>
    <w:qFormat/>
    <w:uiPriority w:val="0"/>
    <w:pPr>
      <w:numPr>
        <w:ilvl w:val="0"/>
        <w:numId w:val="1"/>
      </w:numPr>
      <w:spacing w:line="240" w:lineRule="auto"/>
      <w:jc w:val="left"/>
    </w:pPr>
    <w:rPr>
      <w:b/>
      <w:bCs/>
      <w:sz w:val="24"/>
    </w:rPr>
  </w:style>
  <w:style w:type="paragraph" w:styleId="13">
    <w:name w:val="List Paragraph"/>
    <w:basedOn w:val="1"/>
    <w:unhideWhenUsed/>
    <w:uiPriority w:val="99"/>
    <w:pPr>
      <w:ind w:firstLine="420" w:firstLineChars="200"/>
    </w:pPr>
  </w:style>
  <w:style w:type="paragraph" w:customStyle="1" w:styleId="14">
    <w:name w:val="报告题目"/>
    <w:basedOn w:val="2"/>
    <w:qFormat/>
    <w:uiPriority w:val="0"/>
    <w:pPr>
      <w:jc w:val="left"/>
    </w:pPr>
    <w:rPr>
      <w:b/>
      <w:bCs/>
      <w:sz w:val="24"/>
    </w:rPr>
  </w:style>
  <w:style w:type="paragraph" w:customStyle="1" w:styleId="15">
    <w:name w:val="报告表题"/>
    <w:basedOn w:val="1"/>
    <w:qFormat/>
    <w:uiPriority w:val="0"/>
    <w:pPr>
      <w:ind w:firstLine="360" w:firstLineChars="200"/>
      <w:jc w:val="center"/>
    </w:pPr>
    <w:rPr>
      <w:sz w:val="18"/>
      <w:szCs w:val="18"/>
    </w:rPr>
  </w:style>
  <w:style w:type="paragraph" w:customStyle="1" w:styleId="16">
    <w:name w:val="报告题目2级"/>
    <w:basedOn w:val="14"/>
    <w:qFormat/>
    <w:uiPriority w:val="0"/>
    <w:pPr>
      <w:spacing w:before="50" w:beforeLines="50" w:after="50" w:afterLines="50"/>
      <w:outlineLvl w:val="1"/>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厦门大学化学系</Company>
  <Pages>4</Pages>
  <Words>1485</Words>
  <Characters>1682</Characters>
  <Lines>12</Lines>
  <Paragraphs>3</Paragraphs>
  <TotalTime>23</TotalTime>
  <ScaleCrop>false</ScaleCrop>
  <LinksUpToDate>false</LinksUpToDate>
  <CharactersWithSpaces>1736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2025-08-26T07:27:00Z</dcterms:created>
  <dc:creator>林竹光</dc:creator>
  <cp:lastModifiedBy>♂♂♂</cp:lastModifiedBy>
  <cp:lastPrinted>2019-01-21T12:48:00Z</cp:lastPrinted>
  <dcterms:modified xsi:type="dcterms:W3CDTF">2025-10-30T15:46:41Z</dcterms:modified>
  <dc:title>基础化学实验(三)－《仪器分析实验》</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2CC17E762A494F06BB524FF4D993D661_13</vt:lpwstr>
  </property>
  <property fmtid="{D5CDD505-2E9C-101B-9397-08002B2CF9AE}" pid="4" name="KSOTemplateDocerSaveRecord">
    <vt:lpwstr>eyJoZGlkIjoiZGMzMjAzMTE2MWQ2ZmZhMThlZWNkMWIzZTViNmIwYTUiLCJ1c2VySWQiOiI2MDMxOTkyOTkifQ==</vt:lpwstr>
  </property>
</Properties>
</file>