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DA" w:rsidRDefault="00E05ADA">
      <w:pPr>
        <w:widowControl w:val="0"/>
        <w:pBdr>
          <w:top w:val="nil"/>
          <w:left w:val="nil"/>
          <w:bottom w:val="nil"/>
          <w:right w:val="nil"/>
          <w:between w:val="nil"/>
        </w:pBdr>
      </w:pPr>
    </w:p>
    <w:p w:rsidR="00E05ADA" w:rsidRDefault="00E05ADA">
      <w:pPr>
        <w:spacing w:before="240" w:line="360" w:lineRule="auto"/>
        <w:jc w:val="center"/>
        <w:rPr>
          <w:rFonts w:ascii="Times New Roman" w:eastAsia="Times New Roman" w:hAnsi="Times New Roman" w:cs="Times New Roman"/>
          <w:b/>
          <w:sz w:val="24"/>
          <w:szCs w:val="24"/>
        </w:rPr>
      </w:pPr>
    </w:p>
    <w:p w:rsidR="00E05ADA" w:rsidRDefault="00E05ADA">
      <w:pPr>
        <w:spacing w:before="240" w:line="360" w:lineRule="auto"/>
        <w:jc w:val="center"/>
        <w:rPr>
          <w:rFonts w:ascii="Times New Roman" w:eastAsia="Times New Roman" w:hAnsi="Times New Roman" w:cs="Times New Roman"/>
          <w:b/>
          <w:sz w:val="24"/>
          <w:szCs w:val="24"/>
        </w:rPr>
      </w:pPr>
    </w:p>
    <w:p w:rsidR="00E05ADA" w:rsidRDefault="00E05ADA">
      <w:pPr>
        <w:spacing w:before="240" w:line="360" w:lineRule="auto"/>
        <w:jc w:val="center"/>
        <w:rPr>
          <w:rFonts w:ascii="Times New Roman" w:eastAsia="Times New Roman" w:hAnsi="Times New Roman" w:cs="Times New Roman"/>
          <w:b/>
          <w:sz w:val="24"/>
          <w:szCs w:val="24"/>
        </w:rPr>
      </w:pPr>
    </w:p>
    <w:p w:rsidR="00E05ADA" w:rsidRDefault="00E05ADA">
      <w:pPr>
        <w:spacing w:before="240" w:line="360" w:lineRule="auto"/>
        <w:jc w:val="center"/>
        <w:rPr>
          <w:rFonts w:ascii="Times New Roman" w:eastAsia="Times New Roman" w:hAnsi="Times New Roman" w:cs="Times New Roman"/>
          <w:b/>
          <w:sz w:val="24"/>
          <w:szCs w:val="24"/>
        </w:rPr>
      </w:pPr>
    </w:p>
    <w:p w:rsidR="00E05ADA" w:rsidRDefault="00E05ADA">
      <w:pPr>
        <w:spacing w:before="240" w:line="360" w:lineRule="auto"/>
        <w:jc w:val="center"/>
        <w:rPr>
          <w:rFonts w:ascii="Times New Roman" w:eastAsia="Times New Roman" w:hAnsi="Times New Roman" w:cs="Times New Roman"/>
          <w:b/>
          <w:sz w:val="24"/>
          <w:szCs w:val="24"/>
        </w:rPr>
      </w:pPr>
    </w:p>
    <w:p w:rsidR="00E05ADA" w:rsidRDefault="00E05ADA">
      <w:pPr>
        <w:spacing w:before="240" w:line="360" w:lineRule="auto"/>
        <w:jc w:val="center"/>
        <w:rPr>
          <w:rFonts w:ascii="Times New Roman" w:eastAsia="Times New Roman" w:hAnsi="Times New Roman" w:cs="Times New Roman"/>
          <w:b/>
          <w:sz w:val="24"/>
          <w:szCs w:val="24"/>
        </w:rPr>
      </w:pPr>
    </w:p>
    <w:p w:rsidR="00E05ADA" w:rsidRDefault="00095253">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white"/>
        </w:rPr>
        <w:t xml:space="preserve">FRIEZE ART FAIR </w:t>
      </w:r>
    </w:p>
    <w:p w:rsidR="00E05ADA" w:rsidRDefault="00095253">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Market Selection (FRANCE)</w:t>
      </w:r>
      <w:r>
        <w:br w:type="page"/>
      </w:r>
    </w:p>
    <w:p w:rsidR="00E05ADA" w:rsidRDefault="00095253">
      <w:pPr>
        <w:keepNext/>
        <w:keepLines/>
        <w:pBdr>
          <w:top w:val="nil"/>
          <w:left w:val="nil"/>
          <w:bottom w:val="nil"/>
          <w:right w:val="nil"/>
          <w:between w:val="nil"/>
        </w:pBd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848866424"/>
        <w:docPartObj>
          <w:docPartGallery w:val="Table of Contents"/>
          <w:docPartUnique/>
        </w:docPartObj>
      </w:sdtPr>
      <w:sdtEndPr/>
      <w:sdtContent>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heading=h.gjdgxs">
            <w:r>
              <w:rPr>
                <w:rFonts w:ascii="Times New Roman" w:eastAsia="Times New Roman" w:hAnsi="Times New Roman" w:cs="Times New Roman"/>
                <w:sz w:val="24"/>
                <w:szCs w:val="24"/>
              </w:rPr>
              <w:t>Slide 1: Market diversification and concentration</w:t>
            </w:r>
            <w:r>
              <w:rPr>
                <w:rFonts w:ascii="Times New Roman" w:eastAsia="Times New Roman" w:hAnsi="Times New Roman" w:cs="Times New Roman"/>
                <w:sz w:val="24"/>
                <w:szCs w:val="24"/>
              </w:rPr>
              <w:tab/>
              <w:t>2</w:t>
            </w:r>
          </w:hyperlink>
        </w:p>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hyperlink w:anchor="_heading=h.30j0zll">
            <w:r>
              <w:rPr>
                <w:rFonts w:ascii="Times New Roman" w:eastAsia="Times New Roman" w:hAnsi="Times New Roman" w:cs="Times New Roman"/>
                <w:sz w:val="24"/>
                <w:szCs w:val="24"/>
              </w:rPr>
              <w:t>Slide 2: Environment and market analysis</w:t>
            </w:r>
            <w:r>
              <w:rPr>
                <w:rFonts w:ascii="Times New Roman" w:eastAsia="Times New Roman" w:hAnsi="Times New Roman" w:cs="Times New Roman"/>
                <w:sz w:val="24"/>
                <w:szCs w:val="24"/>
              </w:rPr>
              <w:tab/>
              <w:t>2</w:t>
            </w:r>
          </w:hyperlink>
        </w:p>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hyperlink w:anchor="_heading=h.1fob9te">
            <w:r>
              <w:rPr>
                <w:rFonts w:ascii="Times New Roman" w:eastAsia="Times New Roman" w:hAnsi="Times New Roman" w:cs="Times New Roman"/>
                <w:sz w:val="24"/>
                <w:szCs w:val="24"/>
              </w:rPr>
              <w:t>Slide 3: Competitive analysis</w:t>
            </w:r>
            <w:r>
              <w:rPr>
                <w:rFonts w:ascii="Times New Roman" w:eastAsia="Times New Roman" w:hAnsi="Times New Roman" w:cs="Times New Roman"/>
                <w:sz w:val="24"/>
                <w:szCs w:val="24"/>
              </w:rPr>
              <w:tab/>
              <w:t>3</w:t>
            </w:r>
          </w:hyperlink>
        </w:p>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hyperlink w:anchor="_heading=h.3znysh7">
            <w:r>
              <w:rPr>
                <w:rFonts w:ascii="Times New Roman" w:eastAsia="Times New Roman" w:hAnsi="Times New Roman" w:cs="Times New Roman"/>
                <w:sz w:val="24"/>
                <w:szCs w:val="24"/>
              </w:rPr>
              <w:t>Slide 4: Distribution channels</w:t>
            </w:r>
            <w:r>
              <w:rPr>
                <w:rFonts w:ascii="Times New Roman" w:eastAsia="Times New Roman" w:hAnsi="Times New Roman" w:cs="Times New Roman"/>
                <w:sz w:val="24"/>
                <w:szCs w:val="24"/>
              </w:rPr>
              <w:tab/>
              <w:t>4</w:t>
            </w:r>
          </w:hyperlink>
        </w:p>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hyperlink w:anchor="_heading=h.2et92p0">
            <w:r>
              <w:rPr>
                <w:rFonts w:ascii="Times New Roman" w:eastAsia="Times New Roman" w:hAnsi="Times New Roman" w:cs="Times New Roman"/>
                <w:sz w:val="24"/>
                <w:szCs w:val="24"/>
              </w:rPr>
              <w:t>Slide 5: Demand analysis</w:t>
            </w:r>
            <w:r>
              <w:rPr>
                <w:rFonts w:ascii="Times New Roman" w:eastAsia="Times New Roman" w:hAnsi="Times New Roman" w:cs="Times New Roman"/>
                <w:sz w:val="24"/>
                <w:szCs w:val="24"/>
              </w:rPr>
              <w:tab/>
              <w:t>4</w:t>
            </w:r>
          </w:hyperlink>
        </w:p>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Slide 6: Entry mode decision</w:t>
            </w:r>
            <w:r>
              <w:rPr>
                <w:rFonts w:ascii="Times New Roman" w:eastAsia="Times New Roman" w:hAnsi="Times New Roman" w:cs="Times New Roman"/>
                <w:sz w:val="24"/>
                <w:szCs w:val="24"/>
              </w:rPr>
              <w:tab/>
              <w:t>5</w:t>
            </w:r>
          </w:hyperlink>
        </w:p>
        <w:p w:rsidR="00E05ADA" w:rsidRDefault="00095253">
          <w:pPr>
            <w:pBdr>
              <w:top w:val="nil"/>
              <w:left w:val="nil"/>
              <w:bottom w:val="nil"/>
              <w:right w:val="nil"/>
              <w:between w:val="nil"/>
            </w:pBdr>
            <w:tabs>
              <w:tab w:val="right" w:pos="9350"/>
            </w:tabs>
            <w:spacing w:before="240" w:after="100" w:line="360" w:lineRule="auto"/>
            <w:jc w:val="both"/>
            <w:rPr>
              <w:rFonts w:ascii="Times New Roman" w:eastAsia="Times New Roman" w:hAnsi="Times New Roman" w:cs="Times New Roman"/>
              <w:sz w:val="24"/>
              <w:szCs w:val="24"/>
            </w:rPr>
          </w:pPr>
          <w:hyperlink w:anchor="_heading=h.3dy6vkm">
            <w:r>
              <w:rPr>
                <w:rFonts w:ascii="Times New Roman" w:eastAsia="Times New Roman" w:hAnsi="Times New Roman" w:cs="Times New Roman"/>
                <w:sz w:val="24"/>
                <w:szCs w:val="24"/>
              </w:rPr>
              <w:t>Slide 7: Reference List</w:t>
            </w:r>
            <w:r>
              <w:rPr>
                <w:rFonts w:ascii="Times New Roman" w:eastAsia="Times New Roman" w:hAnsi="Times New Roman" w:cs="Times New Roman"/>
                <w:sz w:val="24"/>
                <w:szCs w:val="24"/>
              </w:rPr>
              <w:tab/>
              <w:t>7</w:t>
            </w:r>
          </w:hyperlink>
        </w:p>
        <w:p w:rsidR="00E05ADA" w:rsidRDefault="00095253">
          <w:pPr>
            <w:spacing w:before="240" w:line="360" w:lineRule="auto"/>
            <w:jc w:val="both"/>
          </w:pPr>
          <w:r>
            <w:fldChar w:fldCharType="end"/>
          </w:r>
        </w:p>
      </w:sdtContent>
    </w:sdt>
    <w:p w:rsidR="00E05ADA" w:rsidRDefault="00095253">
      <w:pPr>
        <w:spacing w:before="240" w:line="360" w:lineRule="auto"/>
        <w:rPr>
          <w:rFonts w:ascii="Times New Roman" w:eastAsia="Times New Roman" w:hAnsi="Times New Roman" w:cs="Times New Roman"/>
          <w:b/>
          <w:sz w:val="24"/>
          <w:szCs w:val="24"/>
        </w:rPr>
      </w:pPr>
      <w:bookmarkStart w:id="0" w:name="_heading=h.gjdgxs" w:colFirst="0" w:colLast="0"/>
      <w:bookmarkEnd w:id="0"/>
      <w:r>
        <w:br w:type="page"/>
      </w:r>
    </w:p>
    <w:p w:rsidR="00E05ADA" w:rsidRDefault="00095253">
      <w:pPr>
        <w:pStyle w:val="Heading1"/>
        <w:spacing w:before="240" w:line="360" w:lineRule="auto"/>
      </w:pPr>
      <w:r>
        <w:lastRenderedPageBreak/>
        <w:t>Slide 1: Market diversification and concentration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9"/>
        <w:gridCol w:w="7841"/>
      </w:tblGrid>
      <w:tr w:rsidR="00E05ADA">
        <w:tc>
          <w:tcPr>
            <w:tcW w:w="9350" w:type="dxa"/>
            <w:gridSpan w:val="2"/>
            <w:shd w:val="clear" w:color="auto" w:fill="EAD1DC"/>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EAD1DC"/>
              </w:rPr>
            </w:pPr>
            <w:r>
              <w:rPr>
                <w:rFonts w:ascii="Times New Roman" w:eastAsia="Times New Roman" w:hAnsi="Times New Roman" w:cs="Times New Roman"/>
                <w:b/>
                <w:i/>
                <w:sz w:val="20"/>
                <w:szCs w:val="20"/>
                <w:u w:val="single"/>
                <w:shd w:val="clear" w:color="auto" w:fill="EAD1DC"/>
              </w:rPr>
              <w:t xml:space="preserve">Environment and Market Analysis </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GDP Growth</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In 2021, France's GDP growth rate was -0.1% (Euromonitor, 2023).</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Country Risk</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France has a low country risk rating of A1 (Euromonitor, 2023).</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Political Factors</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France has a stable political environment with a democratically elected government.</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Other Factors</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France has a strong cultural heritage and a thriving art market.</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Market Appeal</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France has a large and diverse population with a high level of interest in the arts.</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Operational difficulties</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The cost of doing business in France can be high, and the regulatory environment can be complex.</w:t>
            </w:r>
          </w:p>
        </w:tc>
      </w:tr>
      <w:tr w:rsidR="00E05ADA">
        <w:tc>
          <w:tcPr>
            <w:tcW w:w="9350" w:type="dxa"/>
            <w:gridSpan w:val="2"/>
            <w:shd w:val="clear" w:color="auto" w:fill="EAD1DC"/>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EAD1DC"/>
              </w:rPr>
            </w:pPr>
            <w:r>
              <w:rPr>
                <w:rFonts w:ascii="Times New Roman" w:eastAsia="Times New Roman" w:hAnsi="Times New Roman" w:cs="Times New Roman"/>
                <w:b/>
                <w:i/>
                <w:sz w:val="20"/>
                <w:szCs w:val="20"/>
                <w:u w:val="single"/>
                <w:shd w:val="clear" w:color="auto" w:fill="EAD1DC"/>
              </w:rPr>
              <w:t xml:space="preserve">Analysis of Competition </w:t>
            </w:r>
          </w:p>
        </w:tc>
      </w:tr>
      <w:tr w:rsidR="00E05ADA">
        <w:tc>
          <w:tcPr>
            <w:tcW w:w="1509" w:type="dxa"/>
            <w:shd w:val="clear" w:color="auto" w:fill="D9EAD3"/>
          </w:tcPr>
          <w:p w:rsidR="00E05ADA" w:rsidRDefault="00095253">
            <w:pPr>
              <w:spacing w:before="240" w:line="360" w:lineRule="auto"/>
              <w:jc w:val="both"/>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 xml:space="preserve">Competitors </w:t>
            </w:r>
          </w:p>
        </w:tc>
        <w:tc>
          <w:tcPr>
            <w:tcW w:w="7841" w:type="dxa"/>
            <w:shd w:val="clear" w:color="auto" w:fill="FFF2CC"/>
          </w:tcPr>
          <w:p w:rsidR="00E05ADA" w:rsidRDefault="00095253">
            <w:pPr>
              <w:numPr>
                <w:ilvl w:val="0"/>
                <w:numId w:val="4"/>
              </w:num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 xml:space="preserve">FIAC </w:t>
            </w:r>
          </w:p>
          <w:p w:rsidR="00E05ADA" w:rsidRDefault="00095253">
            <w:pPr>
              <w:numPr>
                <w:ilvl w:val="0"/>
                <w:numId w:val="4"/>
              </w:num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 xml:space="preserve">Art Paris </w:t>
            </w:r>
          </w:p>
          <w:p w:rsidR="00E05ADA" w:rsidRDefault="00095253">
            <w:pPr>
              <w:numPr>
                <w:ilvl w:val="0"/>
                <w:numId w:val="4"/>
              </w:num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La Biennale Paris</w:t>
            </w:r>
          </w:p>
        </w:tc>
      </w:tr>
      <w:tr w:rsidR="00E05ADA">
        <w:tc>
          <w:tcPr>
            <w:tcW w:w="1509" w:type="dxa"/>
            <w:shd w:val="clear" w:color="auto" w:fill="D9EAD3"/>
          </w:tcPr>
          <w:p w:rsidR="00E05ADA" w:rsidRDefault="00095253">
            <w:pPr>
              <w:spacing w:before="240" w:line="360" w:lineRule="auto"/>
              <w:jc w:val="both"/>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Comparison of Sales</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The French art market is highly competitive, with numerous galleries and art fairs operating in the country.</w:t>
            </w:r>
          </w:p>
          <w:p w:rsidR="00E05ADA" w:rsidRDefault="00095253">
            <w:pPr>
              <w:numPr>
                <w:ilvl w:val="0"/>
                <w:numId w:val="4"/>
              </w:num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In 2019, FIAC reported sales of over €200 million.</w:t>
            </w:r>
          </w:p>
          <w:p w:rsidR="00E05ADA" w:rsidRDefault="00095253">
            <w:pPr>
              <w:numPr>
                <w:ilvl w:val="0"/>
                <w:numId w:val="4"/>
              </w:num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Art Paris reported sales of €20 million in 2019.</w:t>
            </w:r>
          </w:p>
          <w:p w:rsidR="00E05ADA" w:rsidRDefault="00095253">
            <w:pPr>
              <w:numPr>
                <w:ilvl w:val="0"/>
                <w:numId w:val="4"/>
              </w:num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La Biennale Paris reported sales of €15 million in 2019.</w:t>
            </w:r>
          </w:p>
        </w:tc>
      </w:tr>
      <w:tr w:rsidR="00E05ADA">
        <w:tc>
          <w:tcPr>
            <w:tcW w:w="1509" w:type="dxa"/>
            <w:shd w:val="clear" w:color="auto" w:fill="D9EAD3"/>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D9EAD3"/>
              </w:rPr>
            </w:pPr>
            <w:r>
              <w:rPr>
                <w:rFonts w:ascii="Times New Roman" w:eastAsia="Times New Roman" w:hAnsi="Times New Roman" w:cs="Times New Roman"/>
                <w:b/>
                <w:i/>
                <w:sz w:val="20"/>
                <w:szCs w:val="20"/>
                <w:u w:val="single"/>
                <w:shd w:val="clear" w:color="auto" w:fill="D9EAD3"/>
              </w:rPr>
              <w:t xml:space="preserve">USP Identification for competitors </w:t>
            </w:r>
          </w:p>
        </w:tc>
        <w:tc>
          <w:tcPr>
            <w:tcW w:w="7841" w:type="dxa"/>
            <w:shd w:val="clear" w:color="auto" w:fill="FFF2CC"/>
          </w:tcPr>
          <w:p w:rsidR="00E05ADA" w:rsidRDefault="00095253">
            <w:pPr>
              <w:spacing w:line="360" w:lineRule="auto"/>
              <w:jc w:val="both"/>
              <w:rPr>
                <w:rFonts w:ascii="Times New Roman" w:eastAsia="Times New Roman" w:hAnsi="Times New Roman" w:cs="Times New Roman"/>
                <w:sz w:val="20"/>
                <w:szCs w:val="20"/>
                <w:shd w:val="clear" w:color="auto" w:fill="FFF2CC"/>
              </w:rPr>
            </w:pPr>
            <w:r>
              <w:rPr>
                <w:rFonts w:ascii="Times New Roman" w:eastAsia="Times New Roman" w:hAnsi="Times New Roman" w:cs="Times New Roman"/>
                <w:sz w:val="20"/>
                <w:szCs w:val="20"/>
                <w:shd w:val="clear" w:color="auto" w:fill="FFF2CC"/>
              </w:rPr>
              <w:t>FIAC is known for its high-quality exhibitors and curated sections. Art Paris is known for its focus on modern and contemporary art from Europe and Asia. Paris Photo is known for its emphasis on photography. La Biennale Paris is known for its mix of art, a</w:t>
            </w:r>
            <w:r>
              <w:rPr>
                <w:rFonts w:ascii="Times New Roman" w:eastAsia="Times New Roman" w:hAnsi="Times New Roman" w:cs="Times New Roman"/>
                <w:sz w:val="20"/>
                <w:szCs w:val="20"/>
                <w:shd w:val="clear" w:color="auto" w:fill="FFF2CC"/>
              </w:rPr>
              <w:t>ntiques, and jewelry.</w:t>
            </w:r>
          </w:p>
        </w:tc>
      </w:tr>
      <w:tr w:rsidR="00E05ADA">
        <w:tc>
          <w:tcPr>
            <w:tcW w:w="9350" w:type="dxa"/>
            <w:gridSpan w:val="2"/>
            <w:shd w:val="clear" w:color="auto" w:fill="EAD1DC"/>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EAD1DC"/>
              </w:rPr>
            </w:pPr>
            <w:r>
              <w:rPr>
                <w:rFonts w:ascii="Times New Roman" w:eastAsia="Times New Roman" w:hAnsi="Times New Roman" w:cs="Times New Roman"/>
                <w:b/>
                <w:i/>
                <w:sz w:val="20"/>
                <w:szCs w:val="20"/>
                <w:u w:val="single"/>
                <w:shd w:val="clear" w:color="auto" w:fill="EAD1DC"/>
              </w:rPr>
              <w:t>Distribution Channel</w:t>
            </w:r>
          </w:p>
        </w:tc>
      </w:tr>
      <w:tr w:rsidR="00E05ADA">
        <w:trPr>
          <w:trHeight w:val="240"/>
        </w:trPr>
        <w:tc>
          <w:tcPr>
            <w:tcW w:w="9350" w:type="dxa"/>
            <w:gridSpan w:val="2"/>
            <w:shd w:val="clear" w:color="auto" w:fill="FFF2CC"/>
          </w:tcPr>
          <w:p w:rsidR="00E05ADA" w:rsidRDefault="00095253">
            <w:pP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Competitors generally sell art through their own galleries or at art fairs. Some may also sell through online platforms or auction houses.</w:t>
            </w:r>
          </w:p>
        </w:tc>
      </w:tr>
      <w:tr w:rsidR="00E05ADA">
        <w:tc>
          <w:tcPr>
            <w:tcW w:w="9350" w:type="dxa"/>
            <w:gridSpan w:val="2"/>
            <w:shd w:val="clear" w:color="auto" w:fill="EAD1DC"/>
          </w:tcPr>
          <w:p w:rsidR="00E05ADA" w:rsidRDefault="00095253">
            <w:pPr>
              <w:spacing w:before="240" w:line="360" w:lineRule="auto"/>
              <w:jc w:val="center"/>
              <w:rPr>
                <w:rFonts w:ascii="Times New Roman" w:eastAsia="Times New Roman" w:hAnsi="Times New Roman" w:cs="Times New Roman"/>
                <w:b/>
                <w:i/>
                <w:sz w:val="20"/>
                <w:szCs w:val="20"/>
                <w:u w:val="single"/>
                <w:shd w:val="clear" w:color="auto" w:fill="EAD1DC"/>
              </w:rPr>
            </w:pPr>
            <w:r>
              <w:rPr>
                <w:rFonts w:ascii="Times New Roman" w:eastAsia="Times New Roman" w:hAnsi="Times New Roman" w:cs="Times New Roman"/>
                <w:b/>
                <w:i/>
                <w:sz w:val="20"/>
                <w:szCs w:val="20"/>
                <w:u w:val="single"/>
                <w:shd w:val="clear" w:color="auto" w:fill="EAD1DC"/>
              </w:rPr>
              <w:t>Demand analysis</w:t>
            </w:r>
          </w:p>
        </w:tc>
      </w:tr>
      <w:tr w:rsidR="00E05ADA">
        <w:trPr>
          <w:trHeight w:val="240"/>
        </w:trPr>
        <w:tc>
          <w:tcPr>
            <w:tcW w:w="9350" w:type="dxa"/>
            <w:gridSpan w:val="2"/>
            <w:shd w:val="clear" w:color="auto" w:fill="FFF2CC"/>
          </w:tcPr>
          <w:p w:rsidR="00E05ADA" w:rsidRDefault="00095253">
            <w:pPr>
              <w:spacing w:line="36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There is a strong demand for contemporary art in France, with a large and diverse population interested in the arts. Art fairs like FIAC, La Biennale Paris and Art Paris attract both local and international collectors and dealers, and </w:t>
            </w:r>
            <w:r>
              <w:rPr>
                <w:rFonts w:ascii="Times New Roman" w:eastAsia="Times New Roman" w:hAnsi="Times New Roman" w:cs="Times New Roman"/>
                <w:sz w:val="20"/>
                <w:szCs w:val="20"/>
              </w:rPr>
              <w:lastRenderedPageBreak/>
              <w:t xml:space="preserve">sales at these fairs </w:t>
            </w:r>
            <w:r>
              <w:rPr>
                <w:rFonts w:ascii="Times New Roman" w:eastAsia="Times New Roman" w:hAnsi="Times New Roman" w:cs="Times New Roman"/>
                <w:sz w:val="20"/>
                <w:szCs w:val="20"/>
              </w:rPr>
              <w:t xml:space="preserve">are typically strong. The Frieze Art Fair would likely face significant competition from these established events, but could potentially appeal to a younger or more experimental segment of the market. </w:t>
            </w:r>
          </w:p>
        </w:tc>
      </w:tr>
    </w:tbl>
    <w:p w:rsidR="00E05ADA" w:rsidRDefault="00095253">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lastRenderedPageBreak/>
        <w:t>Note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France's GDP growth rate was -0.1% in 2021, whi</w:t>
      </w:r>
      <w:r>
        <w:rPr>
          <w:rFonts w:ascii="Times New Roman" w:eastAsia="Times New Roman" w:hAnsi="Times New Roman" w:cs="Times New Roman"/>
          <w:sz w:val="24"/>
          <w:szCs w:val="24"/>
        </w:rPr>
        <w:t xml:space="preserve">ch may impact the art market. However, France has a low country risk rating of A1 and a stable political environment with a democratically elected government </w:t>
      </w:r>
      <w:r>
        <w:rPr>
          <w:rFonts w:ascii="Times New Roman" w:eastAsia="Times New Roman" w:hAnsi="Times New Roman" w:cs="Times New Roman"/>
          <w:sz w:val="24"/>
          <w:szCs w:val="24"/>
          <w:highlight w:val="white"/>
        </w:rPr>
        <w:t>(Hwang and Tang, 2020, p.81)</w:t>
      </w:r>
      <w:r>
        <w:rPr>
          <w:rFonts w:ascii="Times New Roman" w:eastAsia="Times New Roman" w:hAnsi="Times New Roman" w:cs="Times New Roman"/>
          <w:sz w:val="24"/>
          <w:szCs w:val="24"/>
        </w:rPr>
        <w:t>. The country has a strong cultural heritage and a thriving art market</w:t>
      </w:r>
      <w:r>
        <w:rPr>
          <w:rFonts w:ascii="Times New Roman" w:eastAsia="Times New Roman" w:hAnsi="Times New Roman" w:cs="Times New Roman"/>
          <w:sz w:val="24"/>
          <w:szCs w:val="24"/>
        </w:rPr>
        <w:t xml:space="preserve"> with a large and diverse population interested in the arts (</w:t>
      </w:r>
      <w:r>
        <w:rPr>
          <w:rFonts w:ascii="Times New Roman" w:eastAsia="Times New Roman" w:hAnsi="Times New Roman" w:cs="Times New Roman"/>
          <w:sz w:val="24"/>
          <w:szCs w:val="24"/>
          <w:highlight w:val="white"/>
        </w:rPr>
        <w:t>Euromonitor, 2019)</w:t>
      </w:r>
      <w:r>
        <w:rPr>
          <w:rFonts w:ascii="Times New Roman" w:eastAsia="Times New Roman" w:hAnsi="Times New Roman" w:cs="Times New Roman"/>
          <w:sz w:val="24"/>
          <w:szCs w:val="24"/>
        </w:rPr>
        <w:t>. The French art market is highly competitive, with numerous galleries and art fairs operating in the country, including FIAC, Art Paris, and La Biennale Paris. Each competitor has a unique USP and sells through their own galleries or at art fairs, with so</w:t>
      </w:r>
      <w:r>
        <w:rPr>
          <w:rFonts w:ascii="Times New Roman" w:eastAsia="Times New Roman" w:hAnsi="Times New Roman" w:cs="Times New Roman"/>
          <w:sz w:val="24"/>
          <w:szCs w:val="24"/>
        </w:rPr>
        <w:t>me also selling through online platforms or auction houses. Strong demand for contemporary art exists in France, attracting both local and international collectors and dealers.</w:t>
      </w:r>
    </w:p>
    <w:p w:rsidR="00E05ADA" w:rsidRDefault="00095253">
      <w:pPr>
        <w:pStyle w:val="Heading1"/>
        <w:spacing w:before="240" w:line="360" w:lineRule="auto"/>
      </w:pPr>
      <w:bookmarkStart w:id="1" w:name="_heading=h.30j0zll" w:colFirst="0" w:colLast="0"/>
      <w:bookmarkEnd w:id="1"/>
      <w:r>
        <w:t>Slide 2: Environment and market analysis</w:t>
      </w:r>
    </w:p>
    <w:p w:rsidR="00E05ADA" w:rsidRDefault="00095253">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France has one of the most popular global art markets and also the revenue generated from art works is growing immensely over 9.4% the last few years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highlight w:val="white"/>
        </w:rPr>
        <w:t>Jäger,  2021)</w:t>
      </w:r>
      <w:r>
        <w:rPr>
          <w:rFonts w:ascii="Times New Roman" w:eastAsia="Times New Roman" w:hAnsi="Times New Roman" w:cs="Times New Roman"/>
          <w:sz w:val="24"/>
          <w:szCs w:val="24"/>
        </w:rPr>
        <w:t>.</w:t>
      </w:r>
    </w:p>
    <w:p w:rsidR="00E05ADA" w:rsidRDefault="0009525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Post-war and contemporary art dominate the country's art sales, accounting for over 70% o</w:t>
      </w:r>
      <w:r>
        <w:rPr>
          <w:rFonts w:ascii="Times New Roman" w:eastAsia="Times New Roman" w:hAnsi="Times New Roman" w:cs="Times New Roman"/>
          <w:sz w:val="24"/>
          <w:szCs w:val="24"/>
          <w:highlight w:val="white"/>
        </w:rPr>
        <w:t xml:space="preserve">f the total art sales in 2019 (Courbiere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2020).</w:t>
      </w:r>
    </w:p>
    <w:p w:rsidR="00E05ADA" w:rsidRDefault="0009525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France hosts several established art fairs, such as FIAC, </w:t>
      </w:r>
      <w:r>
        <w:rPr>
          <w:rFonts w:ascii="Times New Roman" w:eastAsia="Times New Roman" w:hAnsi="Times New Roman" w:cs="Times New Roman"/>
          <w:sz w:val="24"/>
          <w:szCs w:val="24"/>
        </w:rPr>
        <w:t>La Biennale Paris</w:t>
      </w:r>
      <w:r>
        <w:rPr>
          <w:rFonts w:ascii="Times New Roman" w:eastAsia="Times New Roman" w:hAnsi="Times New Roman" w:cs="Times New Roman"/>
          <w:sz w:val="24"/>
          <w:szCs w:val="24"/>
          <w:highlight w:val="white"/>
        </w:rPr>
        <w:t>, and Art Paris (Haisch and Menzel, 2022).</w:t>
      </w:r>
    </w:p>
    <w:p w:rsidR="00E05ADA" w:rsidRDefault="00095253">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French art market experienced a 23% decline in sales in 2020 due to the impact</w:t>
      </w:r>
      <w:r>
        <w:rPr>
          <w:rFonts w:ascii="Times New Roman" w:eastAsia="Times New Roman" w:hAnsi="Times New Roman" w:cs="Times New Roman"/>
          <w:sz w:val="24"/>
          <w:szCs w:val="24"/>
          <w:highlight w:val="white"/>
        </w:rPr>
        <w:t xml:space="preserve"> of the coronavirus pandemic.</w:t>
      </w:r>
    </w:p>
    <w:p w:rsidR="00E05ADA" w:rsidRDefault="0009525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highlight w:val="white"/>
        </w:rPr>
        <w:t>Note</w:t>
      </w:r>
      <w:r>
        <w:rPr>
          <w:rFonts w:ascii="Times New Roman" w:eastAsia="Times New Roman" w:hAnsi="Times New Roman" w:cs="Times New Roman"/>
          <w:sz w:val="24"/>
          <w:szCs w:val="24"/>
          <w:highlight w:val="white"/>
        </w:rPr>
        <w:t>: France is one of the world's leading art markets that ranks as the sixth largest in the world, France offers a dynamic and diverse marketplace for the art industry, making it an attractive destination for international a</w:t>
      </w:r>
      <w:r>
        <w:rPr>
          <w:rFonts w:ascii="Times New Roman" w:eastAsia="Times New Roman" w:hAnsi="Times New Roman" w:cs="Times New Roman"/>
          <w:sz w:val="24"/>
          <w:szCs w:val="24"/>
          <w:highlight w:val="white"/>
        </w:rPr>
        <w:t>rt fairs such as Frieze. France's art market is characterized by a high level of sophistication and discernment among buyers, with a strong emphasis on quality and provenance. According to Artprice, the country's art market is dominated by sales of post-wa</w:t>
      </w:r>
      <w:r>
        <w:rPr>
          <w:rFonts w:ascii="Times New Roman" w:eastAsia="Times New Roman" w:hAnsi="Times New Roman" w:cs="Times New Roman"/>
          <w:sz w:val="24"/>
          <w:szCs w:val="24"/>
          <w:highlight w:val="white"/>
        </w:rPr>
        <w:t xml:space="preserve">r and contemporary art, which accounted for over 70% of the total art sales in 2019 (Baetjer, 2019).  In terms of the art fair market, it is the home to several established fairs such as FIAC, Art Paris and </w:t>
      </w:r>
      <w:r>
        <w:rPr>
          <w:rFonts w:ascii="Times New Roman" w:eastAsia="Times New Roman" w:hAnsi="Times New Roman" w:cs="Times New Roman"/>
          <w:sz w:val="24"/>
          <w:szCs w:val="24"/>
        </w:rPr>
        <w:t>La Biennale Paris</w:t>
      </w:r>
      <w:r>
        <w:rPr>
          <w:rFonts w:ascii="Times New Roman" w:eastAsia="Times New Roman" w:hAnsi="Times New Roman" w:cs="Times New Roman"/>
          <w:sz w:val="24"/>
          <w:szCs w:val="24"/>
          <w:highlight w:val="white"/>
        </w:rPr>
        <w:t>. Frieze's entry into the French</w:t>
      </w:r>
      <w:r>
        <w:rPr>
          <w:rFonts w:ascii="Times New Roman" w:eastAsia="Times New Roman" w:hAnsi="Times New Roman" w:cs="Times New Roman"/>
          <w:sz w:val="24"/>
          <w:szCs w:val="24"/>
          <w:highlight w:val="white"/>
        </w:rPr>
        <w:t xml:space="preserve"> market could create healthy competition, offering </w:t>
      </w:r>
      <w:r>
        <w:rPr>
          <w:rFonts w:ascii="Times New Roman" w:eastAsia="Times New Roman" w:hAnsi="Times New Roman" w:cs="Times New Roman"/>
          <w:sz w:val="24"/>
          <w:szCs w:val="24"/>
          <w:highlight w:val="white"/>
        </w:rPr>
        <w:lastRenderedPageBreak/>
        <w:t>new opportunities for collectors, artists, and dealers alike. However, due to the coronavirus pandemic in 2020, sales in the French art market fell by 23% compared to the previous year.</w:t>
      </w:r>
    </w:p>
    <w:p w:rsidR="00E05ADA" w:rsidRDefault="00095253">
      <w:pPr>
        <w:pStyle w:val="Heading1"/>
        <w:spacing w:before="240" w:line="360" w:lineRule="auto"/>
        <w:rPr>
          <w:highlight w:val="white"/>
        </w:rPr>
      </w:pPr>
      <w:bookmarkStart w:id="2" w:name="_heading=h.1fob9te" w:colFirst="0" w:colLast="0"/>
      <w:bookmarkEnd w:id="2"/>
      <w:r>
        <w:t>Slide 3: Competitiv</w:t>
      </w:r>
      <w:r>
        <w:t>e analysis</w:t>
      </w:r>
    </w:p>
    <w:p w:rsidR="00E05ADA" w:rsidRDefault="00095253">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FIAC, La Biennale Paris, and Art Paris are three art fairs that take place annually in Paris, France. They each showcase a range of contemporary and modern art, attracting collectors, curators, and enthusiasts from around the world</w:t>
      </w:r>
      <w:r>
        <w:rPr>
          <w:rFonts w:ascii="Times New Roman" w:eastAsia="Times New Roman" w:hAnsi="Times New Roman" w:cs="Times New Roman"/>
          <w:color w:val="222222"/>
          <w:sz w:val="24"/>
          <w:szCs w:val="24"/>
          <w:highlight w:val="white"/>
        </w:rPr>
        <w:t>.</w:t>
      </w:r>
    </w:p>
    <w:p w:rsidR="00E05ADA" w:rsidRDefault="00095253">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competito</w:t>
      </w:r>
      <w:r>
        <w:rPr>
          <w:rFonts w:ascii="Times New Roman" w:eastAsia="Times New Roman" w:hAnsi="Times New Roman" w:cs="Times New Roman"/>
          <w:sz w:val="24"/>
          <w:szCs w:val="24"/>
          <w:highlight w:val="white"/>
        </w:rPr>
        <w:t>rs of the Frieze Art Fair, which takes place in London, each of these fairs seeks to attract a similar audience and offer a diverse selection of works from leading galleries and artists.</w:t>
      </w:r>
    </w:p>
    <w:p w:rsidR="00E05ADA" w:rsidRDefault="00095253">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terms of visitors, FIAC is considered the largest of the three fai</w:t>
      </w:r>
      <w:r>
        <w:rPr>
          <w:rFonts w:ascii="Times New Roman" w:eastAsia="Times New Roman" w:hAnsi="Times New Roman" w:cs="Times New Roman"/>
          <w:sz w:val="24"/>
          <w:szCs w:val="24"/>
          <w:highlight w:val="white"/>
        </w:rPr>
        <w:t>rs, drawing in over 70,000 visitors annually. La Biennale Paris and Art Paris each attract around 50,000 visitors (Hwang and Tang, 2020, p.81)</w:t>
      </w:r>
      <w:r>
        <w:rPr>
          <w:rFonts w:ascii="Times New Roman" w:eastAsia="Times New Roman" w:hAnsi="Times New Roman" w:cs="Times New Roman"/>
          <w:sz w:val="24"/>
          <w:szCs w:val="24"/>
        </w:rPr>
        <w:t xml:space="preserve">. </w:t>
      </w:r>
    </w:p>
    <w:p w:rsidR="00E05ADA" w:rsidRDefault="00095253">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terms of sales volume, FIAC has consistently been the strongest performer of the three, with a reported sale</w:t>
      </w:r>
      <w:r>
        <w:rPr>
          <w:rFonts w:ascii="Times New Roman" w:eastAsia="Times New Roman" w:hAnsi="Times New Roman" w:cs="Times New Roman"/>
          <w:sz w:val="24"/>
          <w:szCs w:val="24"/>
          <w:highlight w:val="white"/>
        </w:rPr>
        <w:t xml:space="preserve">s volume of over $200 million in 2019. La Biennale Paris and Art Paris have reported sales volumes in the tens of millions of dollars </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Euromonitor, 2019).</w:t>
      </w:r>
    </w:p>
    <w:p w:rsidR="00E05ADA" w:rsidRDefault="0009525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highlight w:val="white"/>
        </w:rPr>
        <w:t>Note</w:t>
      </w:r>
      <w:r>
        <w:rPr>
          <w:rFonts w:ascii="Times New Roman" w:eastAsia="Times New Roman" w:hAnsi="Times New Roman" w:cs="Times New Roman"/>
          <w:sz w:val="24"/>
          <w:szCs w:val="24"/>
          <w:highlight w:val="white"/>
        </w:rPr>
        <w:t>: FIAC, La Biennale Paris, and Art Paris are annual art fairs held in Paris, showcasing modern an</w:t>
      </w:r>
      <w:r>
        <w:rPr>
          <w:rFonts w:ascii="Times New Roman" w:eastAsia="Times New Roman" w:hAnsi="Times New Roman" w:cs="Times New Roman"/>
          <w:sz w:val="24"/>
          <w:szCs w:val="24"/>
          <w:highlight w:val="white"/>
        </w:rPr>
        <w:t>d contemporary art. They compete with London's Frieze Art Fair for a global audience, with FIAC being the largest and most successful in terms of visitor numbers and sales volume, exceeding $200 million in 2019. La Biennale Paris and Art Paris draw in arou</w:t>
      </w:r>
      <w:r>
        <w:rPr>
          <w:rFonts w:ascii="Times New Roman" w:eastAsia="Times New Roman" w:hAnsi="Times New Roman" w:cs="Times New Roman"/>
          <w:sz w:val="24"/>
          <w:szCs w:val="24"/>
          <w:highlight w:val="white"/>
        </w:rPr>
        <w:t>nd 50,000 visitors each and report sales volumes in the tens of millions.</w:t>
      </w:r>
    </w:p>
    <w:p w:rsidR="00E05ADA" w:rsidRDefault="00095253">
      <w:pPr>
        <w:pStyle w:val="Heading1"/>
        <w:spacing w:before="240" w:line="360" w:lineRule="auto"/>
      </w:pPr>
      <w:bookmarkStart w:id="3" w:name="_heading=h.3znysh7" w:colFirst="0" w:colLast="0"/>
      <w:bookmarkEnd w:id="3"/>
      <w:r>
        <w:t>Slide 4: Distribution channels</w:t>
      </w:r>
    </w:p>
    <w:p w:rsidR="00E05ADA" w:rsidRDefault="00095253">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Partnerships with established art galleries in France.</w:t>
      </w:r>
    </w:p>
    <w:p w:rsidR="00E05ADA" w:rsidRDefault="00095253">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sales platforms to reach a wider audience.</w:t>
      </w:r>
    </w:p>
    <w:p w:rsidR="00E05ADA" w:rsidRDefault="00095253">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Collaborations with museums or cultural instit</w:t>
      </w:r>
      <w:r>
        <w:rPr>
          <w:rFonts w:ascii="Times New Roman" w:eastAsia="Times New Roman" w:hAnsi="Times New Roman" w:cs="Times New Roman"/>
          <w:sz w:val="24"/>
          <w:szCs w:val="24"/>
        </w:rPr>
        <w:t xml:space="preserve">utions to leverage their existing networks and resources </w:t>
      </w:r>
      <w:r>
        <w:rPr>
          <w:rFonts w:ascii="Times New Roman" w:eastAsia="Times New Roman" w:hAnsi="Times New Roman" w:cs="Times New Roman"/>
          <w:sz w:val="24"/>
          <w:szCs w:val="24"/>
          <w:highlight w:val="white"/>
        </w:rPr>
        <w:t>(Hwang and Tang, 2020, p.81).</w:t>
      </w:r>
    </w:p>
    <w:p w:rsidR="00E05ADA" w:rsidRDefault="00095253">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Hosting pop-up exhibitions in various locations across the country to increase visibility and engagement.</w:t>
      </w:r>
    </w:p>
    <w:p w:rsidR="00E05ADA" w:rsidRDefault="00095253">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Participating in art fairs and events in France to establish a presence in the local art scene.</w:t>
      </w:r>
    </w:p>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Note</w:t>
      </w:r>
      <w:r>
        <w:rPr>
          <w:rFonts w:ascii="Times New Roman" w:eastAsia="Times New Roman" w:hAnsi="Times New Roman" w:cs="Times New Roman"/>
          <w:sz w:val="24"/>
          <w:szCs w:val="24"/>
        </w:rPr>
        <w:t>: Possible distribution channels for Frieze Art Fair in France could include partnerships with established art galleries, online sales platforms, and collab</w:t>
      </w:r>
      <w:r>
        <w:rPr>
          <w:rFonts w:ascii="Times New Roman" w:eastAsia="Times New Roman" w:hAnsi="Times New Roman" w:cs="Times New Roman"/>
          <w:sz w:val="24"/>
          <w:szCs w:val="24"/>
        </w:rPr>
        <w:t xml:space="preserve">orations with museums or cultural institutions </w:t>
      </w:r>
      <w:r>
        <w:rPr>
          <w:rFonts w:ascii="Times New Roman" w:eastAsia="Times New Roman" w:hAnsi="Times New Roman" w:cs="Times New Roman"/>
          <w:sz w:val="24"/>
          <w:szCs w:val="24"/>
          <w:highlight w:val="white"/>
        </w:rPr>
        <w:t>(Wotto, 2020, p.263)</w:t>
      </w:r>
      <w:r>
        <w:rPr>
          <w:rFonts w:ascii="Times New Roman" w:eastAsia="Times New Roman" w:hAnsi="Times New Roman" w:cs="Times New Roman"/>
          <w:sz w:val="24"/>
          <w:szCs w:val="24"/>
        </w:rPr>
        <w:t>. Additionally, Frieze could explore hosting pop-up exhibitions or participating in art fairs and events across the country.</w:t>
      </w:r>
    </w:p>
    <w:p w:rsidR="00E05ADA" w:rsidRDefault="0009525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5: Demand Analysis and Market Entry</w:t>
      </w:r>
    </w:p>
    <w:p w:rsidR="00E05ADA" w:rsidRDefault="0009525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Market Entry</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647"/>
        <w:gridCol w:w="3331"/>
        <w:gridCol w:w="2496"/>
        <w:gridCol w:w="1886"/>
      </w:tblGrid>
      <w:tr w:rsidR="00E05ADA">
        <w:trPr>
          <w:trHeight w:val="1430"/>
        </w:trPr>
        <w:tc>
          <w:tcPr>
            <w:tcW w:w="1647" w:type="dxa"/>
            <w:tcBorders>
              <w:top w:val="single" w:sz="5" w:space="0" w:color="000000"/>
              <w:left w:val="single" w:sz="5" w:space="0" w:color="000000"/>
              <w:bottom w:val="single" w:sz="5" w:space="0" w:color="000000"/>
              <w:right w:val="single" w:sz="5" w:space="0" w:color="000000"/>
            </w:tcBorders>
            <w:shd w:val="clear" w:color="auto" w:fill="FFF2CC"/>
            <w:tcMar>
              <w:top w:w="100" w:type="dxa"/>
              <w:left w:w="100" w:type="dxa"/>
              <w:bottom w:w="100" w:type="dxa"/>
              <w:right w:w="100" w:type="dxa"/>
            </w:tcMar>
            <w:vAlign w:val="bottom"/>
          </w:tcPr>
          <w:p w:rsidR="00E05ADA" w:rsidRDefault="00095253">
            <w:pPr>
              <w:spacing w:line="360" w:lineRule="auto"/>
              <w:jc w:val="both"/>
              <w:rPr>
                <w:rFonts w:ascii="Times New Roman" w:eastAsia="Times New Roman" w:hAnsi="Times New Roman" w:cs="Times New Roman"/>
                <w:b/>
                <w:i/>
                <w:sz w:val="24"/>
                <w:szCs w:val="24"/>
                <w:u w:val="single"/>
                <w:shd w:val="clear" w:color="auto" w:fill="FFF2CC"/>
              </w:rPr>
            </w:pPr>
            <w:r>
              <w:rPr>
                <w:rFonts w:ascii="Times New Roman" w:eastAsia="Times New Roman" w:hAnsi="Times New Roman" w:cs="Times New Roman"/>
                <w:b/>
                <w:i/>
                <w:sz w:val="24"/>
                <w:szCs w:val="24"/>
                <w:u w:val="single"/>
                <w:shd w:val="clear" w:color="auto" w:fill="FFF2CC"/>
              </w:rPr>
              <w:t>Market Entry Model</w:t>
            </w:r>
          </w:p>
        </w:tc>
        <w:tc>
          <w:tcPr>
            <w:tcW w:w="3330" w:type="dxa"/>
            <w:tcBorders>
              <w:top w:val="single" w:sz="5" w:space="0" w:color="000000"/>
              <w:left w:val="single" w:sz="5" w:space="0" w:color="000000"/>
              <w:bottom w:val="single" w:sz="5" w:space="0" w:color="000000"/>
              <w:right w:val="single" w:sz="5" w:space="0" w:color="000000"/>
            </w:tcBorders>
            <w:shd w:val="clear" w:color="auto" w:fill="FFF2CC"/>
            <w:tcMar>
              <w:top w:w="100" w:type="dxa"/>
              <w:left w:w="100" w:type="dxa"/>
              <w:bottom w:w="100" w:type="dxa"/>
              <w:right w:w="100" w:type="dxa"/>
            </w:tcMar>
            <w:vAlign w:val="bottom"/>
          </w:tcPr>
          <w:p w:rsidR="00E05ADA" w:rsidRDefault="00095253">
            <w:pPr>
              <w:spacing w:line="360" w:lineRule="auto"/>
              <w:jc w:val="both"/>
              <w:rPr>
                <w:rFonts w:ascii="Times New Roman" w:eastAsia="Times New Roman" w:hAnsi="Times New Roman" w:cs="Times New Roman"/>
                <w:b/>
                <w:i/>
                <w:sz w:val="24"/>
                <w:szCs w:val="24"/>
                <w:u w:val="single"/>
                <w:shd w:val="clear" w:color="auto" w:fill="FFF2CC"/>
              </w:rPr>
            </w:pPr>
            <w:r>
              <w:rPr>
                <w:rFonts w:ascii="Times New Roman" w:eastAsia="Times New Roman" w:hAnsi="Times New Roman" w:cs="Times New Roman"/>
                <w:b/>
                <w:i/>
                <w:sz w:val="24"/>
                <w:szCs w:val="24"/>
                <w:u w:val="single"/>
                <w:shd w:val="clear" w:color="auto" w:fill="FFF2CC"/>
              </w:rPr>
              <w:t>Pros</w:t>
            </w:r>
          </w:p>
        </w:tc>
        <w:tc>
          <w:tcPr>
            <w:tcW w:w="2495" w:type="dxa"/>
            <w:tcBorders>
              <w:top w:val="single" w:sz="5" w:space="0" w:color="000000"/>
              <w:left w:val="single" w:sz="5" w:space="0" w:color="000000"/>
              <w:bottom w:val="single" w:sz="5" w:space="0" w:color="000000"/>
              <w:right w:val="single" w:sz="5" w:space="0" w:color="000000"/>
            </w:tcBorders>
            <w:shd w:val="clear" w:color="auto" w:fill="FFF2CC"/>
            <w:tcMar>
              <w:top w:w="100" w:type="dxa"/>
              <w:left w:w="100" w:type="dxa"/>
              <w:bottom w:w="100" w:type="dxa"/>
              <w:right w:w="100" w:type="dxa"/>
            </w:tcMar>
            <w:vAlign w:val="bottom"/>
          </w:tcPr>
          <w:p w:rsidR="00E05ADA" w:rsidRDefault="00095253">
            <w:pPr>
              <w:spacing w:line="360" w:lineRule="auto"/>
              <w:jc w:val="both"/>
              <w:rPr>
                <w:rFonts w:ascii="Times New Roman" w:eastAsia="Times New Roman" w:hAnsi="Times New Roman" w:cs="Times New Roman"/>
                <w:b/>
                <w:i/>
                <w:sz w:val="24"/>
                <w:szCs w:val="24"/>
                <w:u w:val="single"/>
                <w:shd w:val="clear" w:color="auto" w:fill="FFF2CC"/>
              </w:rPr>
            </w:pPr>
            <w:r>
              <w:rPr>
                <w:rFonts w:ascii="Times New Roman" w:eastAsia="Times New Roman" w:hAnsi="Times New Roman" w:cs="Times New Roman"/>
                <w:b/>
                <w:i/>
                <w:sz w:val="24"/>
                <w:szCs w:val="24"/>
                <w:u w:val="single"/>
                <w:shd w:val="clear" w:color="auto" w:fill="FFF2CC"/>
              </w:rPr>
              <w:t>Cons</w:t>
            </w:r>
          </w:p>
        </w:tc>
        <w:tc>
          <w:tcPr>
            <w:tcW w:w="1886" w:type="dxa"/>
            <w:tcBorders>
              <w:top w:val="single" w:sz="5" w:space="0" w:color="000000"/>
              <w:left w:val="single" w:sz="5" w:space="0" w:color="000000"/>
              <w:bottom w:val="single" w:sz="5" w:space="0" w:color="000000"/>
              <w:right w:val="single" w:sz="5" w:space="0" w:color="000000"/>
            </w:tcBorders>
            <w:shd w:val="clear" w:color="auto" w:fill="FFF2CC"/>
            <w:tcMar>
              <w:top w:w="100" w:type="dxa"/>
              <w:left w:w="100" w:type="dxa"/>
              <w:bottom w:w="100" w:type="dxa"/>
              <w:right w:w="100" w:type="dxa"/>
            </w:tcMar>
            <w:vAlign w:val="bottom"/>
          </w:tcPr>
          <w:p w:rsidR="00E05ADA" w:rsidRDefault="00095253">
            <w:pPr>
              <w:spacing w:line="360" w:lineRule="auto"/>
              <w:jc w:val="both"/>
              <w:rPr>
                <w:rFonts w:ascii="Times New Roman" w:eastAsia="Times New Roman" w:hAnsi="Times New Roman" w:cs="Times New Roman"/>
                <w:b/>
                <w:i/>
                <w:sz w:val="24"/>
                <w:szCs w:val="24"/>
                <w:u w:val="single"/>
                <w:shd w:val="clear" w:color="auto" w:fill="FFF2CC"/>
              </w:rPr>
            </w:pPr>
            <w:r>
              <w:rPr>
                <w:rFonts w:ascii="Times New Roman" w:eastAsia="Times New Roman" w:hAnsi="Times New Roman" w:cs="Times New Roman"/>
                <w:b/>
                <w:i/>
                <w:sz w:val="24"/>
                <w:szCs w:val="24"/>
                <w:u w:val="single"/>
                <w:shd w:val="clear" w:color="auto" w:fill="FFF2CC"/>
              </w:rPr>
              <w:t>Suitable for Frieze Art Fair in France</w:t>
            </w:r>
          </w:p>
        </w:tc>
      </w:tr>
      <w:tr w:rsidR="00E05ADA">
        <w:trPr>
          <w:trHeight w:val="1415"/>
        </w:trPr>
        <w:tc>
          <w:tcPr>
            <w:tcW w:w="1647" w:type="dxa"/>
            <w:tcBorders>
              <w:top w:val="single" w:sz="5" w:space="0" w:color="000000"/>
              <w:left w:val="single" w:sz="5" w:space="0" w:color="000000"/>
              <w:bottom w:val="single" w:sz="5" w:space="0" w:color="000000"/>
              <w:right w:val="single" w:sz="5" w:space="0" w:color="000000"/>
            </w:tcBorders>
            <w:shd w:val="clear" w:color="auto" w:fill="D5A6BD"/>
            <w:tcMar>
              <w:top w:w="100" w:type="dxa"/>
              <w:left w:w="100" w:type="dxa"/>
              <w:bottom w:w="100" w:type="dxa"/>
              <w:right w:w="100" w:type="dxa"/>
            </w:tcMar>
            <w:vAlign w:val="center"/>
          </w:tcPr>
          <w:p w:rsidR="00E05ADA" w:rsidRDefault="00095253">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FDI</w:t>
            </w:r>
          </w:p>
        </w:tc>
        <w:tc>
          <w:tcPr>
            <w:tcW w:w="3330" w:type="dxa"/>
            <w:tcBorders>
              <w:top w:val="single" w:sz="5" w:space="0" w:color="000000"/>
              <w:left w:val="single" w:sz="5" w:space="0" w:color="000000"/>
              <w:bottom w:val="single" w:sz="5" w:space="0" w:color="000000"/>
              <w:right w:val="single" w:sz="5" w:space="0" w:color="000000"/>
            </w:tcBorders>
            <w:shd w:val="clear" w:color="auto" w:fill="C9DAF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Provides full control and ownership of operations (</w:t>
            </w:r>
            <w:r>
              <w:rPr>
                <w:rFonts w:ascii="Times New Roman" w:eastAsia="Times New Roman" w:hAnsi="Times New Roman" w:cs="Times New Roman"/>
                <w:color w:val="222222"/>
                <w:sz w:val="24"/>
                <w:szCs w:val="24"/>
                <w:shd w:val="clear" w:color="auto" w:fill="C9DAF8"/>
              </w:rPr>
              <w:t>Paquette, 2020, p.303).</w:t>
            </w:r>
          </w:p>
        </w:tc>
        <w:tc>
          <w:tcPr>
            <w:tcW w:w="2495" w:type="dxa"/>
            <w:tcBorders>
              <w:top w:val="single" w:sz="5" w:space="0" w:color="000000"/>
              <w:left w:val="single" w:sz="5" w:space="0" w:color="000000"/>
              <w:bottom w:val="single" w:sz="5" w:space="0" w:color="000000"/>
              <w:right w:val="single" w:sz="5" w:space="0" w:color="000000"/>
            </w:tcBorders>
            <w:shd w:val="clear" w:color="auto" w:fill="B6D7A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investment costs and risks involved.</w:t>
            </w:r>
          </w:p>
        </w:tc>
        <w:tc>
          <w:tcPr>
            <w:tcW w:w="1886" w:type="dxa"/>
            <w:tcBorders>
              <w:top w:val="single" w:sz="5" w:space="0" w:color="000000"/>
              <w:left w:val="single" w:sz="5" w:space="0" w:color="000000"/>
              <w:bottom w:val="single" w:sz="5" w:space="0" w:color="000000"/>
              <w:right w:val="single" w:sz="5" w:space="0" w:color="000000"/>
            </w:tcBorders>
            <w:shd w:val="clear" w:color="auto" w:fill="EAD1DC"/>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suitable for Frieze Art Fair in France</w:t>
            </w:r>
          </w:p>
        </w:tc>
      </w:tr>
      <w:tr w:rsidR="00E05ADA">
        <w:trPr>
          <w:trHeight w:val="1775"/>
        </w:trPr>
        <w:tc>
          <w:tcPr>
            <w:tcW w:w="1647" w:type="dxa"/>
            <w:tcBorders>
              <w:top w:val="single" w:sz="5" w:space="0" w:color="000000"/>
              <w:left w:val="single" w:sz="5" w:space="0" w:color="000000"/>
              <w:bottom w:val="single" w:sz="5" w:space="0" w:color="000000"/>
              <w:right w:val="single" w:sz="5" w:space="0" w:color="000000"/>
            </w:tcBorders>
            <w:shd w:val="clear" w:color="auto" w:fill="D5A6BD"/>
            <w:tcMar>
              <w:top w:w="100" w:type="dxa"/>
              <w:left w:w="100" w:type="dxa"/>
              <w:bottom w:w="100" w:type="dxa"/>
              <w:right w:w="100" w:type="dxa"/>
            </w:tcMar>
            <w:vAlign w:val="center"/>
          </w:tcPr>
          <w:p w:rsidR="00E05ADA" w:rsidRDefault="00095253">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Partnership</w:t>
            </w:r>
          </w:p>
        </w:tc>
        <w:tc>
          <w:tcPr>
            <w:tcW w:w="3330" w:type="dxa"/>
            <w:tcBorders>
              <w:top w:val="single" w:sz="5" w:space="0" w:color="000000"/>
              <w:left w:val="single" w:sz="5" w:space="0" w:color="000000"/>
              <w:bottom w:val="single" w:sz="5" w:space="0" w:color="000000"/>
              <w:right w:val="single" w:sz="5" w:space="0" w:color="000000"/>
            </w:tcBorders>
            <w:shd w:val="clear" w:color="auto" w:fill="C9DAF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Access to local expertise, shared risks and costs, establish relationships with artists and collectors (</w:t>
            </w:r>
            <w:r>
              <w:rPr>
                <w:rFonts w:ascii="Times New Roman" w:eastAsia="Times New Roman" w:hAnsi="Times New Roman" w:cs="Times New Roman"/>
                <w:color w:val="222222"/>
                <w:sz w:val="24"/>
                <w:szCs w:val="24"/>
                <w:shd w:val="clear" w:color="auto" w:fill="C9DAF8"/>
              </w:rPr>
              <w:t>Elavarasan et al., 2022, p.112204).</w:t>
            </w:r>
          </w:p>
        </w:tc>
        <w:tc>
          <w:tcPr>
            <w:tcW w:w="2495" w:type="dxa"/>
            <w:tcBorders>
              <w:top w:val="single" w:sz="5" w:space="0" w:color="000000"/>
              <w:left w:val="single" w:sz="5" w:space="0" w:color="000000"/>
              <w:bottom w:val="single" w:sz="5" w:space="0" w:color="000000"/>
              <w:right w:val="single" w:sz="5" w:space="0" w:color="000000"/>
            </w:tcBorders>
            <w:shd w:val="clear" w:color="auto" w:fill="B6D7A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Shared control, potential conflicts, limited profits.</w:t>
            </w:r>
          </w:p>
        </w:tc>
        <w:tc>
          <w:tcPr>
            <w:tcW w:w="1886" w:type="dxa"/>
            <w:tcBorders>
              <w:top w:val="single" w:sz="5" w:space="0" w:color="000000"/>
              <w:left w:val="single" w:sz="5" w:space="0" w:color="000000"/>
              <w:bottom w:val="single" w:sz="5" w:space="0" w:color="000000"/>
              <w:right w:val="single" w:sz="5" w:space="0" w:color="000000"/>
            </w:tcBorders>
            <w:shd w:val="clear" w:color="auto" w:fill="EAD1DC"/>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Suitable for Frieze Art Fair in France</w:t>
            </w:r>
          </w:p>
        </w:tc>
      </w:tr>
      <w:tr w:rsidR="00E05ADA">
        <w:trPr>
          <w:trHeight w:val="1415"/>
        </w:trPr>
        <w:tc>
          <w:tcPr>
            <w:tcW w:w="1647" w:type="dxa"/>
            <w:tcBorders>
              <w:top w:val="single" w:sz="5" w:space="0" w:color="000000"/>
              <w:left w:val="single" w:sz="5" w:space="0" w:color="000000"/>
              <w:bottom w:val="single" w:sz="5" w:space="0" w:color="000000"/>
              <w:right w:val="single" w:sz="5" w:space="0" w:color="000000"/>
            </w:tcBorders>
            <w:shd w:val="clear" w:color="auto" w:fill="D5A6BD"/>
            <w:tcMar>
              <w:top w:w="100" w:type="dxa"/>
              <w:left w:w="100" w:type="dxa"/>
              <w:bottom w:w="100" w:type="dxa"/>
              <w:right w:w="100" w:type="dxa"/>
            </w:tcMar>
            <w:vAlign w:val="center"/>
          </w:tcPr>
          <w:p w:rsidR="00E05ADA" w:rsidRDefault="00095253">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Licensing</w:t>
            </w:r>
          </w:p>
        </w:tc>
        <w:tc>
          <w:tcPr>
            <w:tcW w:w="3330" w:type="dxa"/>
            <w:tcBorders>
              <w:top w:val="single" w:sz="5" w:space="0" w:color="000000"/>
              <w:left w:val="single" w:sz="5" w:space="0" w:color="000000"/>
              <w:bottom w:val="single" w:sz="5" w:space="0" w:color="000000"/>
              <w:right w:val="single" w:sz="5" w:space="0" w:color="000000"/>
            </w:tcBorders>
            <w:shd w:val="clear" w:color="auto" w:fill="C9DAF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Low investment costs, quick market entry, allows leveraging of a partner's brand and reputation (Hwang and Tang, 2020, p.81).</w:t>
            </w:r>
          </w:p>
        </w:tc>
        <w:tc>
          <w:tcPr>
            <w:tcW w:w="2495" w:type="dxa"/>
            <w:tcBorders>
              <w:top w:val="single" w:sz="5" w:space="0" w:color="000000"/>
              <w:left w:val="single" w:sz="5" w:space="0" w:color="000000"/>
              <w:bottom w:val="single" w:sz="5" w:space="0" w:color="000000"/>
              <w:right w:val="single" w:sz="5" w:space="0" w:color="000000"/>
            </w:tcBorders>
            <w:shd w:val="clear" w:color="auto" w:fill="B6D7A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control, royalties or fees required.</w:t>
            </w:r>
          </w:p>
        </w:tc>
        <w:tc>
          <w:tcPr>
            <w:tcW w:w="1886" w:type="dxa"/>
            <w:tcBorders>
              <w:top w:val="single" w:sz="5" w:space="0" w:color="000000"/>
              <w:left w:val="single" w:sz="5" w:space="0" w:color="000000"/>
              <w:bottom w:val="single" w:sz="5" w:space="0" w:color="000000"/>
              <w:right w:val="single" w:sz="5" w:space="0" w:color="000000"/>
            </w:tcBorders>
            <w:shd w:val="clear" w:color="auto" w:fill="EAD1DC"/>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suitable for Frieze Art Fair in France</w:t>
            </w:r>
          </w:p>
        </w:tc>
      </w:tr>
      <w:tr w:rsidR="00E05ADA">
        <w:trPr>
          <w:trHeight w:val="1415"/>
        </w:trPr>
        <w:tc>
          <w:tcPr>
            <w:tcW w:w="1647" w:type="dxa"/>
            <w:tcBorders>
              <w:top w:val="single" w:sz="5" w:space="0" w:color="000000"/>
              <w:left w:val="single" w:sz="5" w:space="0" w:color="000000"/>
              <w:bottom w:val="single" w:sz="5" w:space="0" w:color="000000"/>
              <w:right w:val="single" w:sz="5" w:space="0" w:color="000000"/>
            </w:tcBorders>
            <w:shd w:val="clear" w:color="auto" w:fill="D5A6BD"/>
            <w:tcMar>
              <w:top w:w="100" w:type="dxa"/>
              <w:left w:w="100" w:type="dxa"/>
              <w:bottom w:w="100" w:type="dxa"/>
              <w:right w:w="100" w:type="dxa"/>
            </w:tcMar>
            <w:vAlign w:val="center"/>
          </w:tcPr>
          <w:p w:rsidR="00E05ADA" w:rsidRDefault="00095253">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Franchising</w:t>
            </w:r>
          </w:p>
        </w:tc>
        <w:tc>
          <w:tcPr>
            <w:tcW w:w="3330" w:type="dxa"/>
            <w:tcBorders>
              <w:top w:val="single" w:sz="5" w:space="0" w:color="000000"/>
              <w:left w:val="single" w:sz="5" w:space="0" w:color="000000"/>
              <w:bottom w:val="single" w:sz="5" w:space="0" w:color="000000"/>
              <w:right w:val="single" w:sz="5" w:space="0" w:color="000000"/>
            </w:tcBorders>
            <w:shd w:val="clear" w:color="auto" w:fill="C9DAF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Allows for rapid expansion, shared risks and costs, established brand and operating systems (Euromonitor, 2023).</w:t>
            </w:r>
          </w:p>
        </w:tc>
        <w:tc>
          <w:tcPr>
            <w:tcW w:w="2495" w:type="dxa"/>
            <w:tcBorders>
              <w:top w:val="single" w:sz="5" w:space="0" w:color="000000"/>
              <w:left w:val="single" w:sz="5" w:space="0" w:color="000000"/>
              <w:bottom w:val="single" w:sz="5" w:space="0" w:color="000000"/>
              <w:right w:val="single" w:sz="5" w:space="0" w:color="000000"/>
            </w:tcBorders>
            <w:shd w:val="clear" w:color="auto" w:fill="B6D7A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control, fees and royalties required, potential conflicts.</w:t>
            </w:r>
          </w:p>
        </w:tc>
        <w:tc>
          <w:tcPr>
            <w:tcW w:w="1886" w:type="dxa"/>
            <w:tcBorders>
              <w:top w:val="single" w:sz="5" w:space="0" w:color="000000"/>
              <w:left w:val="single" w:sz="5" w:space="0" w:color="000000"/>
              <w:bottom w:val="single" w:sz="5" w:space="0" w:color="000000"/>
              <w:right w:val="single" w:sz="5" w:space="0" w:color="000000"/>
            </w:tcBorders>
            <w:shd w:val="clear" w:color="auto" w:fill="EAD1DC"/>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suitable for Frieze Art Fair in France</w:t>
            </w:r>
          </w:p>
        </w:tc>
      </w:tr>
      <w:tr w:rsidR="00E05ADA">
        <w:trPr>
          <w:trHeight w:val="1415"/>
        </w:trPr>
        <w:tc>
          <w:tcPr>
            <w:tcW w:w="1647" w:type="dxa"/>
            <w:tcBorders>
              <w:top w:val="single" w:sz="5" w:space="0" w:color="000000"/>
              <w:left w:val="single" w:sz="5" w:space="0" w:color="000000"/>
              <w:bottom w:val="single" w:sz="5" w:space="0" w:color="000000"/>
              <w:right w:val="single" w:sz="5" w:space="0" w:color="000000"/>
            </w:tcBorders>
            <w:shd w:val="clear" w:color="auto" w:fill="D5A6BD"/>
            <w:tcMar>
              <w:top w:w="100" w:type="dxa"/>
              <w:left w:w="100" w:type="dxa"/>
              <w:bottom w:w="100" w:type="dxa"/>
              <w:right w:w="100" w:type="dxa"/>
            </w:tcMar>
            <w:vAlign w:val="center"/>
          </w:tcPr>
          <w:p w:rsidR="00E05ADA" w:rsidRDefault="00095253">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lastRenderedPageBreak/>
              <w:t>Joint Ventures</w:t>
            </w:r>
          </w:p>
        </w:tc>
        <w:tc>
          <w:tcPr>
            <w:tcW w:w="3330" w:type="dxa"/>
            <w:tcBorders>
              <w:top w:val="single" w:sz="5" w:space="0" w:color="000000"/>
              <w:left w:val="single" w:sz="5" w:space="0" w:color="000000"/>
              <w:bottom w:val="single" w:sz="5" w:space="0" w:color="000000"/>
              <w:right w:val="single" w:sz="5" w:space="0" w:color="000000"/>
            </w:tcBorders>
            <w:shd w:val="clear" w:color="auto" w:fill="C9DAF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Shared risks and </w:t>
            </w:r>
            <w:r>
              <w:rPr>
                <w:rFonts w:ascii="Times New Roman" w:eastAsia="Times New Roman" w:hAnsi="Times New Roman" w:cs="Times New Roman"/>
                <w:sz w:val="24"/>
                <w:szCs w:val="24"/>
                <w:shd w:val="clear" w:color="auto" w:fill="C9DAF8"/>
              </w:rPr>
              <w:t>costs, access to local expertise and knowledge, potential for increased profits  (Baetjer, 2019).</w:t>
            </w:r>
          </w:p>
        </w:tc>
        <w:tc>
          <w:tcPr>
            <w:tcW w:w="2495" w:type="dxa"/>
            <w:tcBorders>
              <w:top w:val="single" w:sz="5" w:space="0" w:color="000000"/>
              <w:left w:val="single" w:sz="5" w:space="0" w:color="000000"/>
              <w:bottom w:val="single" w:sz="5" w:space="0" w:color="000000"/>
              <w:right w:val="single" w:sz="5" w:space="0" w:color="000000"/>
            </w:tcBorders>
            <w:shd w:val="clear" w:color="auto" w:fill="B6D7A8"/>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for conflicts, shared control and decision-making.</w:t>
            </w:r>
          </w:p>
        </w:tc>
        <w:tc>
          <w:tcPr>
            <w:tcW w:w="1886" w:type="dxa"/>
            <w:tcBorders>
              <w:top w:val="single" w:sz="5" w:space="0" w:color="000000"/>
              <w:left w:val="single" w:sz="5" w:space="0" w:color="000000"/>
              <w:bottom w:val="single" w:sz="5" w:space="0" w:color="000000"/>
              <w:right w:val="single" w:sz="5" w:space="0" w:color="000000"/>
            </w:tcBorders>
            <w:shd w:val="clear" w:color="auto" w:fill="EAD1DC"/>
            <w:tcMar>
              <w:top w:w="100" w:type="dxa"/>
              <w:left w:w="100" w:type="dxa"/>
              <w:bottom w:w="100" w:type="dxa"/>
              <w:right w:w="100" w:type="dxa"/>
            </w:tcMar>
            <w:vAlign w:val="center"/>
          </w:tcPr>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Suitable for Frieze Art Fair in France</w:t>
            </w:r>
          </w:p>
        </w:tc>
      </w:tr>
    </w:tbl>
    <w:p w:rsidR="00E05ADA" w:rsidRDefault="0009525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Market Analysis Table</w:t>
      </w:r>
    </w:p>
    <w:p w:rsidR="00E05ADA" w:rsidRDefault="00095253">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Demand Analysis</w:t>
      </w:r>
    </w:p>
    <w:p w:rsidR="00E05ADA" w:rsidRDefault="000952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Factors to consider when deciding the demand market:</w:t>
      </w:r>
    </w:p>
    <w:p w:rsidR="00E05ADA" w:rsidRDefault="00095253">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France's art market is worth $4.4 billion and is the fourth largest in the world (</w:t>
      </w:r>
      <w:r>
        <w:rPr>
          <w:rFonts w:ascii="Times New Roman" w:eastAsia="Times New Roman" w:hAnsi="Times New Roman" w:cs="Times New Roman"/>
          <w:color w:val="222222"/>
          <w:sz w:val="24"/>
          <w:szCs w:val="24"/>
          <w:highlight w:val="white"/>
        </w:rPr>
        <w:t>Smith, 2022).</w:t>
      </w:r>
    </w:p>
    <w:p w:rsidR="00E05ADA" w:rsidRDefault="00095253">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France has world-renowned museums and galleries and is known for its cultural heritage and appreciation for</w:t>
      </w:r>
      <w:r>
        <w:rPr>
          <w:rFonts w:ascii="Times New Roman" w:eastAsia="Times New Roman" w:hAnsi="Times New Roman" w:cs="Times New Roman"/>
          <w:sz w:val="24"/>
          <w:szCs w:val="24"/>
        </w:rPr>
        <w:t xml:space="preserve"> art.</w:t>
      </w:r>
    </w:p>
    <w:p w:rsidR="00E05ADA" w:rsidRDefault="00095253">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France attracts millions of tourists annually and has a significant number of high-net-worth individuals, indicating potential demand for high-end art. These factors make it a suitable location for the Frieze Art Fair, with sales increasing by 7% in </w:t>
      </w:r>
      <w:r>
        <w:rPr>
          <w:rFonts w:ascii="Times New Roman" w:eastAsia="Times New Roman" w:hAnsi="Times New Roman" w:cs="Times New Roman"/>
          <w:sz w:val="24"/>
          <w:szCs w:val="24"/>
        </w:rPr>
        <w:t>2019 (</w:t>
      </w:r>
      <w:r>
        <w:rPr>
          <w:rFonts w:ascii="Times New Roman" w:eastAsia="Times New Roman" w:hAnsi="Times New Roman" w:cs="Times New Roman"/>
          <w:sz w:val="24"/>
          <w:szCs w:val="24"/>
          <w:highlight w:val="white"/>
        </w:rPr>
        <w:t>Euromonitor, 2019).</w:t>
      </w:r>
    </w:p>
    <w:p w:rsidR="00E05ADA" w:rsidRDefault="0009525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Note</w:t>
      </w:r>
      <w:r>
        <w:rPr>
          <w:rFonts w:ascii="Times New Roman" w:eastAsia="Times New Roman" w:hAnsi="Times New Roman" w:cs="Times New Roman"/>
          <w:sz w:val="24"/>
          <w:szCs w:val="24"/>
        </w:rPr>
        <w:t>: It can be noted that several critical factors that should be considered when deciding the demand market, such as the size of the art market, cultural heritage and appreciation for art, international reputation, high-net-wort</w:t>
      </w:r>
      <w:r>
        <w:rPr>
          <w:rFonts w:ascii="Times New Roman" w:eastAsia="Times New Roman" w:hAnsi="Times New Roman" w:cs="Times New Roman"/>
          <w:sz w:val="24"/>
          <w:szCs w:val="24"/>
        </w:rPr>
        <w:t>h individuals, and the expansion of the art market. Based on these factors, France is a suitable location for the Frieze Art Fair (</w:t>
      </w:r>
      <w:r>
        <w:rPr>
          <w:rFonts w:ascii="Times New Roman" w:eastAsia="Times New Roman" w:hAnsi="Times New Roman" w:cs="Times New Roman"/>
          <w:color w:val="222222"/>
          <w:sz w:val="24"/>
          <w:szCs w:val="24"/>
          <w:highlight w:val="white"/>
        </w:rPr>
        <w:t>Marić and Gama-Araujo, 2022)</w:t>
      </w:r>
      <w:r>
        <w:rPr>
          <w:rFonts w:ascii="Times New Roman" w:eastAsia="Times New Roman" w:hAnsi="Times New Roman" w:cs="Times New Roman"/>
          <w:sz w:val="24"/>
          <w:szCs w:val="24"/>
        </w:rPr>
        <w:t xml:space="preserve">. When considering a market entry model, FDI offers full control but high costs and risks, while </w:t>
      </w:r>
      <w:r>
        <w:rPr>
          <w:rFonts w:ascii="Times New Roman" w:eastAsia="Times New Roman" w:hAnsi="Times New Roman" w:cs="Times New Roman"/>
          <w:sz w:val="24"/>
          <w:szCs w:val="24"/>
        </w:rPr>
        <w:t>partnerships provide access to local expertise and shared risks but also potential conflicts. Licensing allows for quick market entry but limited control, and franchising allows for rapid expansion but also has limited control and potential conflicts. Join</w:t>
      </w:r>
      <w:r>
        <w:rPr>
          <w:rFonts w:ascii="Times New Roman" w:eastAsia="Times New Roman" w:hAnsi="Times New Roman" w:cs="Times New Roman"/>
          <w:sz w:val="24"/>
          <w:szCs w:val="24"/>
        </w:rPr>
        <w:t>t ventures offer shared risks and access to local knowledge but also potential for conflicts (</w:t>
      </w:r>
      <w:r>
        <w:rPr>
          <w:rFonts w:ascii="Times New Roman" w:eastAsia="Times New Roman" w:hAnsi="Times New Roman" w:cs="Times New Roman"/>
          <w:color w:val="222222"/>
          <w:sz w:val="24"/>
          <w:szCs w:val="24"/>
          <w:highlight w:val="white"/>
        </w:rPr>
        <w:t xml:space="preserve">Knetsch, 2022). </w:t>
      </w:r>
      <w:r>
        <w:rPr>
          <w:rFonts w:ascii="Times New Roman" w:eastAsia="Times New Roman" w:hAnsi="Times New Roman" w:cs="Times New Roman"/>
          <w:sz w:val="24"/>
          <w:szCs w:val="24"/>
        </w:rPr>
        <w:t>For the Frieze Art Fair in France, a partnership or joint venture would be suitable options.</w:t>
      </w:r>
    </w:p>
    <w:p w:rsidR="00E05ADA" w:rsidRDefault="00095253">
      <w:pPr>
        <w:pStyle w:val="Heading1"/>
        <w:spacing w:before="240" w:line="360" w:lineRule="auto"/>
      </w:pPr>
      <w:r>
        <w:t>Slide 7: Reference List</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bookmarkStart w:id="4" w:name="_GoBack"/>
      <w:r w:rsidRPr="00FA0261">
        <w:rPr>
          <w:rFonts w:ascii="Times New Roman" w:eastAsia="Times New Roman" w:hAnsi="Times New Roman" w:cs="Times New Roman"/>
          <w:sz w:val="24"/>
          <w:szCs w:val="24"/>
          <w:highlight w:val="white"/>
        </w:rPr>
        <w:t xml:space="preserve">Baetjer, K., 2019. </w:t>
      </w:r>
      <w:r w:rsidRPr="00FA0261">
        <w:rPr>
          <w:rFonts w:ascii="Times New Roman" w:eastAsia="Times New Roman" w:hAnsi="Times New Roman" w:cs="Times New Roman"/>
          <w:i/>
          <w:sz w:val="24"/>
          <w:szCs w:val="24"/>
          <w:highlight w:val="white"/>
        </w:rPr>
        <w:t>French paintings in The Metropolitan Museum of Art from the early eighteenth century through the revolution</w:t>
      </w:r>
      <w:r w:rsidRPr="00FA0261">
        <w:rPr>
          <w:rFonts w:ascii="Times New Roman" w:eastAsia="Times New Roman" w:hAnsi="Times New Roman" w:cs="Times New Roman"/>
          <w:sz w:val="24"/>
          <w:szCs w:val="24"/>
          <w:highlight w:val="white"/>
        </w:rPr>
        <w:t>. Metropolitan Museum of Art.</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Courbiere, B., Lacan, A., Grynberg, M., Grelat, A., Rio, V., Arbo, E. and Solignac, C., 2020. The psychosocial and professional burden of Medically Assisted Reproduction (MAR): Results from a French survey. </w:t>
      </w:r>
      <w:r w:rsidRPr="00FA0261">
        <w:rPr>
          <w:rFonts w:ascii="Times New Roman" w:eastAsia="Times New Roman" w:hAnsi="Times New Roman" w:cs="Times New Roman"/>
          <w:i/>
          <w:sz w:val="24"/>
          <w:szCs w:val="24"/>
          <w:highlight w:val="white"/>
        </w:rPr>
        <w:t>Plos one</w:t>
      </w:r>
      <w:r w:rsidRPr="00FA0261">
        <w:rPr>
          <w:rFonts w:ascii="Times New Roman" w:eastAsia="Times New Roman" w:hAnsi="Times New Roman" w:cs="Times New Roman"/>
          <w:sz w:val="24"/>
          <w:szCs w:val="24"/>
          <w:highlight w:val="white"/>
        </w:rPr>
        <w:t xml:space="preserve">, </w:t>
      </w:r>
      <w:r w:rsidRPr="00FA0261">
        <w:rPr>
          <w:rFonts w:ascii="Times New Roman" w:eastAsia="Times New Roman" w:hAnsi="Times New Roman" w:cs="Times New Roman"/>
          <w:i/>
          <w:sz w:val="24"/>
          <w:szCs w:val="24"/>
          <w:highlight w:val="white"/>
        </w:rPr>
        <w:t>15</w:t>
      </w:r>
      <w:r w:rsidRPr="00FA0261">
        <w:rPr>
          <w:rFonts w:ascii="Times New Roman" w:eastAsia="Times New Roman" w:hAnsi="Times New Roman" w:cs="Times New Roman"/>
          <w:sz w:val="24"/>
          <w:szCs w:val="24"/>
          <w:highlight w:val="white"/>
        </w:rPr>
        <w:t>(9), p.e0238945.</w:t>
      </w:r>
    </w:p>
    <w:p w:rsidR="00FA0261" w:rsidRPr="00FA0261" w:rsidRDefault="00FA0261" w:rsidP="00FA0261">
      <w:pPr>
        <w:spacing w:line="360" w:lineRule="auto"/>
        <w:jc w:val="both"/>
        <w:rPr>
          <w:rFonts w:ascii="Times New Roman" w:eastAsia="Times New Roman" w:hAnsi="Times New Roman" w:cs="Times New Roman"/>
          <w:b/>
          <w:sz w:val="24"/>
          <w:szCs w:val="24"/>
        </w:rPr>
      </w:pPr>
      <w:r w:rsidRPr="00FA0261">
        <w:rPr>
          <w:rFonts w:ascii="Times New Roman" w:eastAsia="Times New Roman" w:hAnsi="Times New Roman" w:cs="Times New Roman"/>
          <w:sz w:val="24"/>
          <w:szCs w:val="24"/>
          <w:highlight w:val="white"/>
        </w:rPr>
        <w:lastRenderedPageBreak/>
        <w:t xml:space="preserve">Dupuy-Zini, A., Audeh, B., Gagneux-Brunon, A. and Bousquet, C., 2022. Users’ Reactions on Announced Vaccines against COVID-19 Before Marketing in France: Analysis of Twitter posts. </w:t>
      </w:r>
      <w:r w:rsidRPr="00FA0261">
        <w:rPr>
          <w:rFonts w:ascii="Times New Roman" w:eastAsia="Times New Roman" w:hAnsi="Times New Roman" w:cs="Times New Roman"/>
          <w:i/>
          <w:sz w:val="24"/>
          <w:szCs w:val="24"/>
          <w:highlight w:val="white"/>
        </w:rPr>
        <w:t>medRxiv</w:t>
      </w:r>
      <w:r w:rsidRPr="00FA0261">
        <w:rPr>
          <w:rFonts w:ascii="Times New Roman" w:eastAsia="Times New Roman" w:hAnsi="Times New Roman" w:cs="Times New Roman"/>
          <w:sz w:val="24"/>
          <w:szCs w:val="24"/>
          <w:highlight w:val="white"/>
        </w:rPr>
        <w:t>, pp.2022-02.</w:t>
      </w:r>
    </w:p>
    <w:p w:rsidR="00FA0261" w:rsidRPr="00FA0261" w:rsidRDefault="00FA0261" w:rsidP="00FA0261">
      <w:pPr>
        <w:pStyle w:val="NormalWeb"/>
        <w:spacing w:before="0" w:beforeAutospacing="0" w:after="0" w:afterAutospacing="0" w:line="360" w:lineRule="auto"/>
        <w:jc w:val="both"/>
      </w:pPr>
      <w:r w:rsidRPr="00FA0261">
        <w:rPr>
          <w:color w:val="222222"/>
          <w:shd w:val="clear" w:color="auto" w:fill="FFFFFF"/>
        </w:rPr>
        <w:t>Elavarasan, R.M., Pugazhendhi, R., Irfan, M., Mihet-Popa, L., Khan, I.A. and Campana, P.E., 2022. State-of-the-art sustainable approaches for deeper decarbonization in Europe–An endowment to climate neutral vision. Renewable and Sustainable Energy Reviews, 159, p.112204.</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Euromonitor. (2019). </w:t>
      </w:r>
      <w:r w:rsidRPr="00FA0261">
        <w:rPr>
          <w:rFonts w:ascii="Times New Roman" w:eastAsia="Times New Roman" w:hAnsi="Times New Roman" w:cs="Times New Roman"/>
          <w:i/>
          <w:sz w:val="24"/>
          <w:szCs w:val="24"/>
          <w:highlight w:val="white"/>
        </w:rPr>
        <w:t>Arts and Festivals: Balancing the Trade-off between…</w:t>
      </w:r>
      <w:r w:rsidRPr="00FA0261">
        <w:rPr>
          <w:rFonts w:ascii="Times New Roman" w:eastAsia="Times New Roman" w:hAnsi="Times New Roman" w:cs="Times New Roman"/>
          <w:sz w:val="24"/>
          <w:szCs w:val="24"/>
          <w:highlight w:val="white"/>
        </w:rPr>
        <w:t>. [online] Available at: https://www.euromonitor.com/article/arts-festivals-trade-off-importing-global-cultural-brand-authenticity [Accessed 1 Apr. 2023].</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Euromonitor. (2023). </w:t>
      </w:r>
      <w:r w:rsidRPr="00FA0261">
        <w:rPr>
          <w:rFonts w:ascii="Times New Roman" w:eastAsia="Times New Roman" w:hAnsi="Times New Roman" w:cs="Times New Roman"/>
          <w:i/>
          <w:sz w:val="24"/>
          <w:szCs w:val="24"/>
          <w:highlight w:val="white"/>
        </w:rPr>
        <w:t>Business Dynamics: France</w:t>
      </w:r>
      <w:r w:rsidRPr="00FA0261">
        <w:rPr>
          <w:rFonts w:ascii="Times New Roman" w:eastAsia="Times New Roman" w:hAnsi="Times New Roman" w:cs="Times New Roman"/>
          <w:sz w:val="24"/>
          <w:szCs w:val="24"/>
          <w:highlight w:val="white"/>
        </w:rPr>
        <w:t>. [online] Available at: https://www.euromonitor.com/business-dynamics-france/report [Accessed 1 Apr. 2023].</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Frascarelli, R., 2020. Art Publics and Art Market. </w:t>
      </w:r>
      <w:r w:rsidRPr="00FA0261">
        <w:rPr>
          <w:rFonts w:ascii="Times New Roman" w:eastAsia="Times New Roman" w:hAnsi="Times New Roman" w:cs="Times New Roman"/>
          <w:i/>
          <w:sz w:val="24"/>
          <w:szCs w:val="24"/>
          <w:highlight w:val="white"/>
        </w:rPr>
        <w:t>Economia della Cultura</w:t>
      </w:r>
      <w:r w:rsidRPr="00FA0261">
        <w:rPr>
          <w:rFonts w:ascii="Times New Roman" w:eastAsia="Times New Roman" w:hAnsi="Times New Roman" w:cs="Times New Roman"/>
          <w:sz w:val="24"/>
          <w:szCs w:val="24"/>
          <w:highlight w:val="white"/>
        </w:rPr>
        <w:t xml:space="preserve">, </w:t>
      </w:r>
      <w:r w:rsidRPr="00FA0261">
        <w:rPr>
          <w:rFonts w:ascii="Times New Roman" w:eastAsia="Times New Roman" w:hAnsi="Times New Roman" w:cs="Times New Roman"/>
          <w:i/>
          <w:sz w:val="24"/>
          <w:szCs w:val="24"/>
          <w:highlight w:val="white"/>
        </w:rPr>
        <w:t>30</w:t>
      </w:r>
      <w:r w:rsidRPr="00FA0261">
        <w:rPr>
          <w:rFonts w:ascii="Times New Roman" w:eastAsia="Times New Roman" w:hAnsi="Times New Roman" w:cs="Times New Roman"/>
          <w:sz w:val="24"/>
          <w:szCs w:val="24"/>
          <w:highlight w:val="white"/>
        </w:rPr>
        <w:t>(2), pp.125-141.</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Haisch, T. and Menzel, M.P., 2022. Temporary markets: Market devices and processes of valuation at three Basel art fairs. </w:t>
      </w:r>
      <w:r w:rsidRPr="00FA0261">
        <w:rPr>
          <w:rFonts w:ascii="Times New Roman" w:eastAsia="Times New Roman" w:hAnsi="Times New Roman" w:cs="Times New Roman"/>
          <w:i/>
          <w:sz w:val="24"/>
          <w:szCs w:val="24"/>
          <w:highlight w:val="white"/>
        </w:rPr>
        <w:t>Environment and Planning A: Economy and Space</w:t>
      </w:r>
      <w:r w:rsidRPr="00FA0261">
        <w:rPr>
          <w:rFonts w:ascii="Times New Roman" w:eastAsia="Times New Roman" w:hAnsi="Times New Roman" w:cs="Times New Roman"/>
          <w:sz w:val="24"/>
          <w:szCs w:val="24"/>
          <w:highlight w:val="white"/>
        </w:rPr>
        <w:t>, p.0308518X221128309.</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Hwang, K.S. and Tang, Y.S., 2020. The Impact of Brexit on the Art Market in the EU-Focus on the UK and France. </w:t>
      </w:r>
      <w:r w:rsidRPr="00FA0261">
        <w:rPr>
          <w:rFonts w:ascii="Malgun Gothic" w:eastAsia="Gungsuh" w:hAnsi="Malgun Gothic" w:cs="Malgun Gothic"/>
          <w:i/>
          <w:sz w:val="24"/>
          <w:szCs w:val="24"/>
          <w:highlight w:val="white"/>
        </w:rPr>
        <w:t>유럽연구</w:t>
      </w:r>
      <w:r w:rsidRPr="00FA0261">
        <w:rPr>
          <w:rFonts w:ascii="Times New Roman" w:eastAsia="Times New Roman" w:hAnsi="Times New Roman" w:cs="Times New Roman"/>
          <w:sz w:val="24"/>
          <w:szCs w:val="24"/>
          <w:highlight w:val="white"/>
        </w:rPr>
        <w:t xml:space="preserve">, </w:t>
      </w:r>
      <w:r w:rsidRPr="00FA0261">
        <w:rPr>
          <w:rFonts w:ascii="Times New Roman" w:eastAsia="Times New Roman" w:hAnsi="Times New Roman" w:cs="Times New Roman"/>
          <w:i/>
          <w:sz w:val="24"/>
          <w:szCs w:val="24"/>
          <w:highlight w:val="white"/>
        </w:rPr>
        <w:t>38</w:t>
      </w:r>
      <w:r w:rsidRPr="00FA0261">
        <w:rPr>
          <w:rFonts w:ascii="Times New Roman" w:eastAsia="Times New Roman" w:hAnsi="Times New Roman" w:cs="Times New Roman"/>
          <w:sz w:val="24"/>
          <w:szCs w:val="24"/>
          <w:highlight w:val="white"/>
        </w:rPr>
        <w:t>(3), pp.79-96.</w:t>
      </w:r>
    </w:p>
    <w:p w:rsidR="00FA0261" w:rsidRPr="00FA0261" w:rsidRDefault="00FA0261" w:rsidP="00FA0261">
      <w:pPr>
        <w:pStyle w:val="NormalWeb"/>
        <w:spacing w:before="0" w:beforeAutospacing="0" w:after="0" w:afterAutospacing="0" w:line="360" w:lineRule="auto"/>
        <w:jc w:val="both"/>
      </w:pPr>
      <w:r w:rsidRPr="00FA0261">
        <w:rPr>
          <w:color w:val="222222"/>
          <w:shd w:val="clear" w:color="auto" w:fill="FFFFFF"/>
        </w:rPr>
        <w:t xml:space="preserve">Jäger, J., 2021. Picturing nations: landscape photography and national identity in Britain and Germany in the mid-nineteenth century. In </w:t>
      </w:r>
      <w:r w:rsidRPr="00FA0261">
        <w:rPr>
          <w:i/>
          <w:iCs/>
          <w:color w:val="222222"/>
          <w:shd w:val="clear" w:color="auto" w:fill="FFFFFF"/>
        </w:rPr>
        <w:t>Picturing place</w:t>
      </w:r>
      <w:r w:rsidRPr="00FA0261">
        <w:rPr>
          <w:color w:val="222222"/>
          <w:shd w:val="clear" w:color="auto" w:fill="FFFFFF"/>
        </w:rPr>
        <w:t xml:space="preserve"> (pp. 117-140). Routledge.</w:t>
      </w:r>
    </w:p>
    <w:p w:rsidR="00FA0261" w:rsidRPr="00FA0261" w:rsidRDefault="00FA0261" w:rsidP="00FA0261">
      <w:pPr>
        <w:pStyle w:val="NormalWeb"/>
        <w:spacing w:before="0" w:beforeAutospacing="0" w:after="0" w:afterAutospacing="0" w:line="360" w:lineRule="auto"/>
        <w:jc w:val="both"/>
      </w:pPr>
      <w:r w:rsidRPr="00FA0261">
        <w:rPr>
          <w:color w:val="222222"/>
          <w:shd w:val="clear" w:color="auto" w:fill="FFFFFF"/>
        </w:rPr>
        <w:t xml:space="preserve">Knetsch, J., 2022. X. France. </w:t>
      </w:r>
      <w:r w:rsidRPr="00FA0261">
        <w:rPr>
          <w:i/>
          <w:iCs/>
          <w:color w:val="222222"/>
          <w:shd w:val="clear" w:color="auto" w:fill="FFFFFF"/>
        </w:rPr>
        <w:t>European Tort Law Yearbook</w:t>
      </w:r>
      <w:r w:rsidRPr="00FA0261">
        <w:rPr>
          <w:color w:val="222222"/>
          <w:shd w:val="clear" w:color="auto" w:fill="FFFFFF"/>
        </w:rPr>
        <w:t xml:space="preserve">, </w:t>
      </w:r>
      <w:r w:rsidRPr="00FA0261">
        <w:rPr>
          <w:i/>
          <w:iCs/>
          <w:color w:val="222222"/>
          <w:shd w:val="clear" w:color="auto" w:fill="FFFFFF"/>
        </w:rPr>
        <w:t>11</w:t>
      </w:r>
      <w:r w:rsidRPr="00FA0261">
        <w:rPr>
          <w:color w:val="222222"/>
          <w:shd w:val="clear" w:color="auto" w:fill="FFFFFF"/>
        </w:rPr>
        <w:t>(1), pp.174-193.</w:t>
      </w:r>
    </w:p>
    <w:p w:rsidR="00FA0261" w:rsidRPr="00FA0261" w:rsidRDefault="00FA0261" w:rsidP="00FA0261">
      <w:pPr>
        <w:pStyle w:val="NormalWeb"/>
        <w:spacing w:before="0" w:beforeAutospacing="0" w:after="0" w:afterAutospacing="0" w:line="360" w:lineRule="auto"/>
        <w:jc w:val="both"/>
      </w:pPr>
      <w:r w:rsidRPr="00FA0261">
        <w:rPr>
          <w:color w:val="222222"/>
          <w:shd w:val="clear" w:color="auto" w:fill="FFFFFF"/>
        </w:rPr>
        <w:t xml:space="preserve">Marić, J. and Gama-Araujo, I., 2022. Implications of the COVID-19 pandemic in education and vaccine hesitancy among students: A cross-sectional analysis from France. </w:t>
      </w:r>
      <w:r w:rsidRPr="00FA0261">
        <w:rPr>
          <w:i/>
          <w:iCs/>
          <w:color w:val="222222"/>
          <w:shd w:val="clear" w:color="auto" w:fill="FFFFFF"/>
        </w:rPr>
        <w:t>International Journal of Logistics Research and Applications</w:t>
      </w:r>
      <w:r w:rsidRPr="00FA0261">
        <w:rPr>
          <w:color w:val="222222"/>
          <w:shd w:val="clear" w:color="auto" w:fill="FFFFFF"/>
        </w:rPr>
        <w:t>, pp.1-20.</w:t>
      </w:r>
    </w:p>
    <w:p w:rsidR="00FA0261" w:rsidRPr="00FA0261" w:rsidRDefault="00FA0261" w:rsidP="00FA0261">
      <w:pPr>
        <w:pStyle w:val="NormalWeb"/>
        <w:spacing w:before="0" w:beforeAutospacing="0" w:after="0" w:afterAutospacing="0" w:line="360" w:lineRule="auto"/>
        <w:jc w:val="both"/>
      </w:pPr>
      <w:r w:rsidRPr="00FA0261">
        <w:rPr>
          <w:color w:val="222222"/>
          <w:shd w:val="clear" w:color="auto" w:fill="FFFFFF"/>
        </w:rPr>
        <w:t>Paquette, J., 2020. France and the restitution of cultural goods: the Sarr-Savoy report and its reception. Cultural Trends, 29(4), pp.302-316.</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t xml:space="preserve">Single, E., 2020. The art fair boom and its contradictions. </w:t>
      </w:r>
      <w:r w:rsidRPr="00FA0261">
        <w:rPr>
          <w:rFonts w:ascii="Times New Roman" w:eastAsia="Times New Roman" w:hAnsi="Times New Roman" w:cs="Times New Roman"/>
          <w:i/>
          <w:sz w:val="24"/>
          <w:szCs w:val="24"/>
          <w:highlight w:val="white"/>
        </w:rPr>
        <w:t>The Sociology of Arts and Markets: New Developments and Persistent Patterns</w:t>
      </w:r>
      <w:r w:rsidRPr="00FA0261">
        <w:rPr>
          <w:rFonts w:ascii="Times New Roman" w:eastAsia="Times New Roman" w:hAnsi="Times New Roman" w:cs="Times New Roman"/>
          <w:sz w:val="24"/>
          <w:szCs w:val="24"/>
          <w:highlight w:val="white"/>
        </w:rPr>
        <w:t>, pp.365-385.</w:t>
      </w:r>
    </w:p>
    <w:p w:rsidR="00FA0261" w:rsidRPr="00FA0261" w:rsidRDefault="00FA0261" w:rsidP="00FA0261">
      <w:pPr>
        <w:pStyle w:val="NormalWeb"/>
        <w:spacing w:before="0" w:beforeAutospacing="0" w:after="0" w:afterAutospacing="0" w:line="360" w:lineRule="auto"/>
        <w:jc w:val="both"/>
      </w:pPr>
      <w:r w:rsidRPr="00FA0261">
        <w:rPr>
          <w:color w:val="222222"/>
          <w:shd w:val="clear" w:color="auto" w:fill="FFFFFF"/>
        </w:rPr>
        <w:t>Smith, O., 2022. Contemporary Photography in France: Between Theory and Practice (Vol. 32). Leuven University Press.</w:t>
      </w:r>
    </w:p>
    <w:p w:rsidR="00FA0261" w:rsidRPr="00FA0261" w:rsidRDefault="00FA0261" w:rsidP="00FA0261">
      <w:pPr>
        <w:spacing w:line="360" w:lineRule="auto"/>
        <w:jc w:val="both"/>
        <w:rPr>
          <w:rFonts w:ascii="Times New Roman" w:eastAsia="Times New Roman" w:hAnsi="Times New Roman" w:cs="Times New Roman"/>
          <w:sz w:val="24"/>
          <w:szCs w:val="24"/>
          <w:highlight w:val="white"/>
        </w:rPr>
      </w:pPr>
      <w:r w:rsidRPr="00FA0261">
        <w:rPr>
          <w:rFonts w:ascii="Times New Roman" w:eastAsia="Times New Roman" w:hAnsi="Times New Roman" w:cs="Times New Roman"/>
          <w:sz w:val="24"/>
          <w:szCs w:val="24"/>
          <w:highlight w:val="white"/>
        </w:rPr>
        <w:lastRenderedPageBreak/>
        <w:t xml:space="preserve">Wotto, M., 2020. The future high education distance learning in Canada, the United States, and France: Insights from before COVID-19 secondary data analysis. </w:t>
      </w:r>
      <w:r w:rsidRPr="00FA0261">
        <w:rPr>
          <w:rFonts w:ascii="Times New Roman" w:eastAsia="Times New Roman" w:hAnsi="Times New Roman" w:cs="Times New Roman"/>
          <w:i/>
          <w:sz w:val="24"/>
          <w:szCs w:val="24"/>
          <w:highlight w:val="white"/>
        </w:rPr>
        <w:t>Journal of Educational Technology Systems</w:t>
      </w:r>
      <w:r w:rsidRPr="00FA0261">
        <w:rPr>
          <w:rFonts w:ascii="Times New Roman" w:eastAsia="Times New Roman" w:hAnsi="Times New Roman" w:cs="Times New Roman"/>
          <w:sz w:val="24"/>
          <w:szCs w:val="24"/>
          <w:highlight w:val="white"/>
        </w:rPr>
        <w:t xml:space="preserve">, </w:t>
      </w:r>
      <w:r w:rsidRPr="00FA0261">
        <w:rPr>
          <w:rFonts w:ascii="Times New Roman" w:eastAsia="Times New Roman" w:hAnsi="Times New Roman" w:cs="Times New Roman"/>
          <w:i/>
          <w:sz w:val="24"/>
          <w:szCs w:val="24"/>
          <w:highlight w:val="white"/>
        </w:rPr>
        <w:t>49</w:t>
      </w:r>
      <w:r w:rsidRPr="00FA0261">
        <w:rPr>
          <w:rFonts w:ascii="Times New Roman" w:eastAsia="Times New Roman" w:hAnsi="Times New Roman" w:cs="Times New Roman"/>
          <w:sz w:val="24"/>
          <w:szCs w:val="24"/>
          <w:highlight w:val="white"/>
        </w:rPr>
        <w:t>(2), pp.262-281.</w:t>
      </w:r>
    </w:p>
    <w:bookmarkEnd w:id="4"/>
    <w:p w:rsidR="00FA0261" w:rsidRDefault="00FA0261" w:rsidP="00FA0261">
      <w:pPr>
        <w:spacing w:line="360" w:lineRule="auto"/>
        <w:jc w:val="both"/>
        <w:rPr>
          <w:rFonts w:ascii="Times New Roman" w:eastAsia="Times New Roman" w:hAnsi="Times New Roman" w:cs="Times New Roman"/>
          <w:sz w:val="24"/>
          <w:szCs w:val="24"/>
          <w:highlight w:val="white"/>
        </w:rPr>
      </w:pPr>
    </w:p>
    <w:sectPr w:rsidR="00FA0261">
      <w:headerReference w:type="default"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253" w:rsidRDefault="00095253">
      <w:pPr>
        <w:spacing w:line="240" w:lineRule="auto"/>
      </w:pPr>
      <w:r>
        <w:separator/>
      </w:r>
    </w:p>
  </w:endnote>
  <w:endnote w:type="continuationSeparator" w:id="0">
    <w:p w:rsidR="00095253" w:rsidRDefault="00095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ADA" w:rsidRDefault="00095253">
    <w:pPr>
      <w:pBdr>
        <w:top w:val="nil"/>
        <w:left w:val="nil"/>
        <w:bottom w:val="nil"/>
        <w:right w:val="nil"/>
        <w:between w:val="nil"/>
      </w:pBdr>
      <w:tabs>
        <w:tab w:val="center" w:pos="4680"/>
        <w:tab w:val="right" w:pos="9360"/>
      </w:tabs>
      <w:spacing w:line="240" w:lineRule="auto"/>
      <w:jc w:val="right"/>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FA0261">
      <w:rPr>
        <w:rFonts w:ascii="Times New Roman" w:eastAsia="Times New Roman" w:hAnsi="Times New Roman" w:cs="Times New Roman"/>
        <w:color w:val="000000"/>
        <w:sz w:val="24"/>
        <w:szCs w:val="24"/>
      </w:rPr>
      <w:fldChar w:fldCharType="separate"/>
    </w:r>
    <w:r w:rsidR="00FA0261">
      <w:rPr>
        <w:rFonts w:ascii="Times New Roman" w:eastAsia="Times New Roman" w:hAnsi="Times New Roman" w:cs="Times New Roman"/>
        <w:noProof/>
        <w:color w:val="000000"/>
        <w:sz w:val="24"/>
        <w:szCs w:val="24"/>
      </w:rPr>
      <w:t>8</w:t>
    </w:r>
    <w:r>
      <w:rPr>
        <w:rFonts w:ascii="Times New Roman" w:eastAsia="Times New Roman" w:hAnsi="Times New Roman" w:cs="Times New Roman"/>
        <w:color w:val="000000"/>
        <w:sz w:val="24"/>
        <w:szCs w:val="24"/>
      </w:rPr>
      <w:fldChar w:fldCharType="end"/>
    </w:r>
  </w:p>
  <w:p w:rsidR="00E05ADA" w:rsidRDefault="00E05AD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253" w:rsidRDefault="00095253">
      <w:pPr>
        <w:spacing w:line="240" w:lineRule="auto"/>
      </w:pPr>
      <w:r>
        <w:separator/>
      </w:r>
    </w:p>
  </w:footnote>
  <w:footnote w:type="continuationSeparator" w:id="0">
    <w:p w:rsidR="00095253" w:rsidRDefault="000952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ADA" w:rsidRDefault="00E05ADA">
    <w:pPr>
      <w:pBdr>
        <w:top w:val="nil"/>
        <w:left w:val="nil"/>
        <w:bottom w:val="nil"/>
        <w:right w:val="nil"/>
        <w:between w:val="nil"/>
      </w:pBdr>
      <w:tabs>
        <w:tab w:val="center" w:pos="4680"/>
        <w:tab w:val="right" w:pos="9360"/>
      </w:tabs>
      <w:spacing w:line="240" w:lineRule="auto"/>
      <w:jc w:val="center"/>
      <w:rPr>
        <w:color w:val="000000"/>
      </w:rPr>
    </w:pPr>
  </w:p>
  <w:p w:rsidR="00E05ADA" w:rsidRDefault="00E05A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73B32"/>
    <w:multiLevelType w:val="multilevel"/>
    <w:tmpl w:val="6DE2E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DE74B2"/>
    <w:multiLevelType w:val="multilevel"/>
    <w:tmpl w:val="5AF4D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5149DF"/>
    <w:multiLevelType w:val="multilevel"/>
    <w:tmpl w:val="85F0D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782B3D"/>
    <w:multiLevelType w:val="multilevel"/>
    <w:tmpl w:val="028AD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A75AEE"/>
    <w:multiLevelType w:val="multilevel"/>
    <w:tmpl w:val="6B982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DA"/>
    <w:rsid w:val="00095253"/>
    <w:rsid w:val="00E05ADA"/>
    <w:rsid w:val="00FA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F27F79-E837-407A-923C-64665644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qFormat/>
    <w:rsid w:val="00D1403D"/>
    <w:pPr>
      <w:keepNext/>
      <w:keepLines/>
      <w:spacing w:before="400" w:after="120"/>
      <w:jc w:val="both"/>
      <w:outlineLvl w:val="0"/>
    </w:pPr>
    <w:rPr>
      <w:rFonts w:ascii="Times New Roman" w:hAnsi="Times New Roman"/>
      <w:b/>
      <w:color w:val="000000" w:themeColor="text1"/>
      <w:sz w:val="24"/>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1403D"/>
    <w:pPr>
      <w:tabs>
        <w:tab w:val="center" w:pos="4680"/>
        <w:tab w:val="right" w:pos="9360"/>
      </w:tabs>
      <w:spacing w:line="240" w:lineRule="auto"/>
    </w:pPr>
  </w:style>
  <w:style w:type="character" w:customStyle="1" w:styleId="HeaderChar">
    <w:name w:val="Header Char"/>
    <w:basedOn w:val="DefaultParagraphFont"/>
    <w:link w:val="Header"/>
    <w:uiPriority w:val="99"/>
    <w:rsid w:val="00D1403D"/>
  </w:style>
  <w:style w:type="paragraph" w:styleId="Footer">
    <w:name w:val="footer"/>
    <w:basedOn w:val="Normal"/>
    <w:link w:val="FooterChar"/>
    <w:uiPriority w:val="99"/>
    <w:unhideWhenUsed/>
    <w:rsid w:val="00D1403D"/>
    <w:pPr>
      <w:tabs>
        <w:tab w:val="center" w:pos="4680"/>
        <w:tab w:val="right" w:pos="9360"/>
      </w:tabs>
      <w:spacing w:line="240" w:lineRule="auto"/>
    </w:pPr>
  </w:style>
  <w:style w:type="character" w:customStyle="1" w:styleId="FooterChar">
    <w:name w:val="Footer Char"/>
    <w:basedOn w:val="DefaultParagraphFont"/>
    <w:link w:val="Footer"/>
    <w:uiPriority w:val="99"/>
    <w:rsid w:val="00D1403D"/>
  </w:style>
  <w:style w:type="paragraph" w:styleId="TOCHeading">
    <w:name w:val="TOC Heading"/>
    <w:basedOn w:val="Heading1"/>
    <w:next w:val="Normal"/>
    <w:uiPriority w:val="39"/>
    <w:unhideWhenUsed/>
    <w:qFormat/>
    <w:rsid w:val="00D1403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1403D"/>
    <w:pPr>
      <w:spacing w:after="100"/>
    </w:pPr>
  </w:style>
  <w:style w:type="character" w:styleId="Hyperlink">
    <w:name w:val="Hyperlink"/>
    <w:basedOn w:val="DefaultParagraphFont"/>
    <w:uiPriority w:val="99"/>
    <w:unhideWhenUsed/>
    <w:rsid w:val="00D1403D"/>
    <w:rPr>
      <w:color w:val="0000FF" w:themeColor="hyperlink"/>
      <w:u w:val="single"/>
    </w:rPr>
  </w:style>
  <w:style w:type="character" w:styleId="CommentReference">
    <w:name w:val="annotation reference"/>
    <w:basedOn w:val="DefaultParagraphFont"/>
    <w:uiPriority w:val="99"/>
    <w:semiHidden/>
    <w:unhideWhenUsed/>
    <w:rsid w:val="00590A65"/>
    <w:rPr>
      <w:sz w:val="16"/>
      <w:szCs w:val="16"/>
    </w:rPr>
  </w:style>
  <w:style w:type="paragraph" w:styleId="CommentText">
    <w:name w:val="annotation text"/>
    <w:basedOn w:val="Normal"/>
    <w:link w:val="CommentTextChar"/>
    <w:uiPriority w:val="99"/>
    <w:semiHidden/>
    <w:unhideWhenUsed/>
    <w:rsid w:val="00590A65"/>
    <w:pPr>
      <w:spacing w:line="240" w:lineRule="auto"/>
    </w:pPr>
    <w:rPr>
      <w:sz w:val="20"/>
      <w:szCs w:val="20"/>
    </w:rPr>
  </w:style>
  <w:style w:type="character" w:customStyle="1" w:styleId="CommentTextChar">
    <w:name w:val="Comment Text Char"/>
    <w:basedOn w:val="DefaultParagraphFont"/>
    <w:link w:val="CommentText"/>
    <w:uiPriority w:val="99"/>
    <w:semiHidden/>
    <w:rsid w:val="00590A65"/>
    <w:rPr>
      <w:sz w:val="20"/>
      <w:szCs w:val="20"/>
    </w:rPr>
  </w:style>
  <w:style w:type="paragraph" w:styleId="CommentSubject">
    <w:name w:val="annotation subject"/>
    <w:basedOn w:val="CommentText"/>
    <w:next w:val="CommentText"/>
    <w:link w:val="CommentSubjectChar"/>
    <w:uiPriority w:val="99"/>
    <w:semiHidden/>
    <w:unhideWhenUsed/>
    <w:rsid w:val="00590A65"/>
    <w:rPr>
      <w:b/>
      <w:bCs/>
    </w:rPr>
  </w:style>
  <w:style w:type="character" w:customStyle="1" w:styleId="CommentSubjectChar">
    <w:name w:val="Comment Subject Char"/>
    <w:basedOn w:val="CommentTextChar"/>
    <w:link w:val="CommentSubject"/>
    <w:uiPriority w:val="99"/>
    <w:semiHidden/>
    <w:rsid w:val="00590A65"/>
    <w:rPr>
      <w:b/>
      <w:bCs/>
      <w:sz w:val="20"/>
      <w:szCs w:val="20"/>
    </w:rPr>
  </w:style>
  <w:style w:type="table" w:styleId="TableGrid">
    <w:name w:val="Table Grid"/>
    <w:basedOn w:val="TableNormal"/>
    <w:uiPriority w:val="39"/>
    <w:rsid w:val="00590A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766C"/>
    <w:rPr>
      <w:color w:val="605E5C"/>
      <w:shd w:val="clear" w:color="auto" w:fill="E1DFDD"/>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paragraph" w:styleId="NormalWeb">
    <w:name w:val="Normal (Web)"/>
    <w:basedOn w:val="Normal"/>
    <w:uiPriority w:val="99"/>
    <w:semiHidden/>
    <w:unhideWhenUsed/>
    <w:rsid w:val="00FA0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047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uYng8UrftFOWS3DUAAw5T7ZJzg==">AMUW2mUF2l8IewHbMjBqzEI7/clcblyXdBDcKI5poB7UT3YK4bvkCMncg2dSKaYVx99mS58DM/GIHlH75vvqPVe+7zOAHlBbaaFc1r85qteNNajAMAzBdsgcc66s0H2vC6eQUuDBdOaZzzMpF/bdgMDxUdd3RfFtLqslVhUQEyMSrj8JyPY11M8=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2023-03-26T05:59:00Z</dcterms:created>
  <dcterms:modified xsi:type="dcterms:W3CDTF">2023-04-06T07:29:00Z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1ab20a6e0b95b8378c95458f89dc5c93017b0e088f0a9c1bf2dcadebee0e0491</vt:lpwstr>
  </property>
</Properties>
</file>