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Arial" w:cs="Arial" w:eastAsia="Arial" w:hAnsi="Arial"/>
          <w:sz w:val="24"/>
          <w:szCs w:val="24"/>
        </w:rPr>
      </w:pPr>
      <w:r w:rsidDel="00000000" w:rsidR="00000000" w:rsidRPr="00000000">
        <w:rPr>
          <w:rtl w:val="0"/>
        </w:rPr>
      </w:r>
    </w:p>
    <w:tbl>
      <w:tblPr>
        <w:tblStyle w:val="Table1"/>
        <w:tblW w:w="967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955"/>
        <w:gridCol w:w="4275"/>
        <w:tblGridChange w:id="0">
          <w:tblGrid>
            <w:gridCol w:w="2445"/>
            <w:gridCol w:w="2955"/>
            <w:gridCol w:w="4275"/>
          </w:tblGrid>
        </w:tblGridChange>
      </w:tblGrid>
      <w:tr>
        <w:trPr>
          <w:cantSplit w:val="0"/>
          <w:trHeight w:val="576" w:hRule="atLeast"/>
          <w:tblHeader w:val="0"/>
        </w:trPr>
        <w:tc>
          <w:tcPr>
            <w:gridSpan w:val="3"/>
            <w:shd w:fill="d9d9d9" w:val="clear"/>
            <w:tcMar>
              <w:top w:w="100.0" w:type="dxa"/>
              <w:left w:w="100.0" w:type="dxa"/>
              <w:bottom w:w="100.0" w:type="dxa"/>
              <w:right w:w="100.0" w:type="dxa"/>
            </w:tcMar>
            <w:vAlign w:val="center"/>
          </w:tcPr>
          <w:p w:rsidR="00000000" w:rsidDel="00000000" w:rsidP="00000000" w:rsidRDefault="00000000" w:rsidRPr="00000000" w14:paraId="00000002">
            <w:pPr>
              <w:widowControl w:val="0"/>
              <w:spacing w:after="0" w:line="24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PROJECT CHARTER</w:t>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5">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Name</w:t>
            </w:r>
          </w:p>
        </w:tc>
        <w:tc>
          <w:tcPr>
            <w:gridSpan w:val="2"/>
            <w:tcBorders>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Budget.io</w:t>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8">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 Produced</w:t>
            </w:r>
          </w:p>
        </w:tc>
        <w:tc>
          <w:tcPr>
            <w:gridSpan w:val="2"/>
            <w:tcBorders>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October 3,2023</w:t>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B">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Goals</w:t>
            </w:r>
          </w:p>
        </w:tc>
        <w:tc>
          <w:tcPr>
            <w:gridSpan w:val="2"/>
            <w:tcBorders>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The goal of Budget.io is to provide users with a comprehensive budgeting app that seamlessly integrates with all financial institutions, empowering users to manage their finances effectively and achieve their financial goals. This project aligns with the organization's objective of promoting financial literacy and responsible money management.</w:t>
            </w:r>
          </w:p>
          <w:p w:rsidR="00000000" w:rsidDel="00000000" w:rsidP="00000000" w:rsidRDefault="00000000" w:rsidRPr="00000000" w14:paraId="0000000D">
            <w:pPr>
              <w:widowControl w:val="0"/>
              <w:spacing w:after="0" w:line="240" w:lineRule="auto"/>
              <w:rPr>
                <w:rFonts w:ascii="Arial" w:cs="Arial" w:eastAsia="Arial" w:hAnsi="Arial"/>
                <w:color w:val="ececf1"/>
                <w:sz w:val="24"/>
                <w:szCs w:val="24"/>
                <w:shd w:fill="343541" w:val="clear"/>
              </w:rPr>
            </w:pPr>
            <w:r w:rsidDel="00000000" w:rsidR="00000000" w:rsidRPr="00000000">
              <w:rPr>
                <w:rtl w:val="0"/>
              </w:rPr>
            </w:r>
          </w:p>
          <w:p w:rsidR="00000000" w:rsidDel="00000000" w:rsidP="00000000" w:rsidRDefault="00000000" w:rsidRPr="00000000" w14:paraId="0000000E">
            <w:pPr>
              <w:widowControl w:val="0"/>
              <w:spacing w:after="0" w:line="240" w:lineRule="auto"/>
              <w:rPr>
                <w:rFonts w:ascii="Arial" w:cs="Arial" w:eastAsia="Arial" w:hAnsi="Arial"/>
              </w:rPr>
            </w:pPr>
            <w:r w:rsidDel="00000000" w:rsidR="00000000" w:rsidRPr="00000000">
              <w:rPr>
                <w:rtl w:val="0"/>
              </w:rPr>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10">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Objectives</w:t>
            </w:r>
          </w:p>
        </w:tc>
        <w:tc>
          <w:tcPr>
            <w:gridSpan w:val="2"/>
            <w:tcBorders>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1">
            <w:pPr>
              <w:widowControl w:val="0"/>
              <w:numPr>
                <w:ilvl w:val="0"/>
                <w:numId w:val="1"/>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rtl w:val="0"/>
              </w:rPr>
              <w:t xml:space="preserve">Enhance user experience</w:t>
            </w:r>
          </w:p>
          <w:p w:rsidR="00000000" w:rsidDel="00000000" w:rsidP="00000000" w:rsidRDefault="00000000" w:rsidRPr="00000000" w14:paraId="00000012">
            <w:pPr>
              <w:widowControl w:val="0"/>
              <w:numPr>
                <w:ilvl w:val="1"/>
                <w:numId w:val="1"/>
              </w:numPr>
              <w:spacing w:after="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Create an intuitive and user-friendly interface for seamless navigation and a positive user experience.</w:t>
            </w:r>
          </w:p>
          <w:p w:rsidR="00000000" w:rsidDel="00000000" w:rsidP="00000000" w:rsidRDefault="00000000" w:rsidRPr="00000000" w14:paraId="00000013">
            <w:pPr>
              <w:widowControl w:val="0"/>
              <w:numPr>
                <w:ilvl w:val="1"/>
                <w:numId w:val="1"/>
              </w:numPr>
              <w:spacing w:after="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Implement features such as expense tracking, budget planning and goal tracking to meet user needs.</w:t>
            </w:r>
          </w:p>
          <w:p w:rsidR="00000000" w:rsidDel="00000000" w:rsidP="00000000" w:rsidRDefault="00000000" w:rsidRPr="00000000" w14:paraId="00000014">
            <w:pPr>
              <w:widowControl w:val="0"/>
              <w:numPr>
                <w:ilvl w:val="0"/>
                <w:numId w:val="1"/>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rtl w:val="0"/>
              </w:rPr>
              <w:t xml:space="preserve">Ensure regulatory compliance</w:t>
            </w:r>
          </w:p>
          <w:p w:rsidR="00000000" w:rsidDel="00000000" w:rsidP="00000000" w:rsidRDefault="00000000" w:rsidRPr="00000000" w14:paraId="00000015">
            <w:pPr>
              <w:widowControl w:val="0"/>
              <w:numPr>
                <w:ilvl w:val="1"/>
                <w:numId w:val="1"/>
              </w:numPr>
              <w:spacing w:after="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Incorporate necessary measures to comply with financial regulations and data protection standards. </w:t>
            </w:r>
          </w:p>
          <w:p w:rsidR="00000000" w:rsidDel="00000000" w:rsidP="00000000" w:rsidRDefault="00000000" w:rsidRPr="00000000" w14:paraId="00000016">
            <w:pPr>
              <w:widowControl w:val="0"/>
              <w:numPr>
                <w:ilvl w:val="1"/>
                <w:numId w:val="1"/>
              </w:numPr>
              <w:spacing w:after="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Conducts regular audits to ensure adherence to compliance requirements. </w:t>
            </w:r>
          </w:p>
          <w:p w:rsidR="00000000" w:rsidDel="00000000" w:rsidP="00000000" w:rsidRDefault="00000000" w:rsidRPr="00000000" w14:paraId="00000017">
            <w:pPr>
              <w:widowControl w:val="0"/>
              <w:numPr>
                <w:ilvl w:val="0"/>
                <w:numId w:val="1"/>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rtl w:val="0"/>
              </w:rPr>
              <w:t xml:space="preserve">Provide comprehensive financial insights</w:t>
            </w:r>
          </w:p>
          <w:p w:rsidR="00000000" w:rsidDel="00000000" w:rsidP="00000000" w:rsidRDefault="00000000" w:rsidRPr="00000000" w14:paraId="00000018">
            <w:pPr>
              <w:widowControl w:val="0"/>
              <w:numPr>
                <w:ilvl w:val="1"/>
                <w:numId w:val="1"/>
              </w:numPr>
              <w:spacing w:after="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Develop analytics and reporting features to provide users with detailed insights into their financial habits and trends.</w:t>
            </w:r>
          </w:p>
          <w:p w:rsidR="00000000" w:rsidDel="00000000" w:rsidP="00000000" w:rsidRDefault="00000000" w:rsidRPr="00000000" w14:paraId="00000019">
            <w:pPr>
              <w:widowControl w:val="0"/>
              <w:numPr>
                <w:ilvl w:val="1"/>
                <w:numId w:val="1"/>
              </w:numPr>
              <w:spacing w:after="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Enable users to make informed decisions based on comprehensive financial data. </w:t>
            </w:r>
          </w:p>
          <w:p w:rsidR="00000000" w:rsidDel="00000000" w:rsidP="00000000" w:rsidRDefault="00000000" w:rsidRPr="00000000" w14:paraId="0000001A">
            <w:pPr>
              <w:widowControl w:val="0"/>
              <w:numPr>
                <w:ilvl w:val="0"/>
                <w:numId w:val="1"/>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rtl w:val="0"/>
              </w:rPr>
              <w:t xml:space="preserve">Implement integration with financial institutions</w:t>
            </w:r>
          </w:p>
          <w:p w:rsidR="00000000" w:rsidDel="00000000" w:rsidP="00000000" w:rsidRDefault="00000000" w:rsidRPr="00000000" w14:paraId="0000001B">
            <w:pPr>
              <w:widowControl w:val="0"/>
              <w:numPr>
                <w:ilvl w:val="1"/>
                <w:numId w:val="1"/>
              </w:numPr>
              <w:spacing w:after="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Develop and integrate features that allow users to connect and sync Budget.io with all major financial institutions.</w:t>
            </w:r>
          </w:p>
          <w:p w:rsidR="00000000" w:rsidDel="00000000" w:rsidP="00000000" w:rsidRDefault="00000000" w:rsidRPr="00000000" w14:paraId="0000001C">
            <w:pPr>
              <w:widowControl w:val="0"/>
              <w:numPr>
                <w:ilvl w:val="1"/>
                <w:numId w:val="1"/>
              </w:numPr>
              <w:spacing w:after="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Ensure secure and reliable data transmission between the app and financial institutions.</w:t>
            </w:r>
          </w:p>
          <w:p w:rsidR="00000000" w:rsidDel="00000000" w:rsidP="00000000" w:rsidRDefault="00000000" w:rsidRPr="00000000" w14:paraId="0000001D">
            <w:pPr>
              <w:widowControl w:val="0"/>
              <w:spacing w:after="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E">
            <w:pPr>
              <w:widowControl w:val="0"/>
              <w:spacing w:after="0" w:line="240" w:lineRule="auto"/>
              <w:ind w:left="0" w:firstLine="0"/>
              <w:rPr>
                <w:rFonts w:ascii="Arial" w:cs="Arial" w:eastAsia="Arial" w:hAnsi="Arial"/>
              </w:rPr>
            </w:pPr>
            <w:r w:rsidDel="00000000" w:rsidR="00000000" w:rsidRPr="00000000">
              <w:rPr>
                <w:rtl w:val="0"/>
              </w:rPr>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20">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Budget </w:t>
            </w:r>
          </w:p>
        </w:tc>
        <w:tc>
          <w:tcPr>
            <w:gridSpan w:val="2"/>
            <w:tcBorders>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[This section contains the funds available for the project.]</w:t>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23">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Sponsor</w:t>
            </w:r>
          </w:p>
        </w:tc>
        <w:tc>
          <w:tcPr>
            <w:gridSpan w:val="2"/>
            <w:tcBorders>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rtl w:val="0"/>
              </w:rPr>
              <w:t xml:space="preserve">Yogesh Sharma, ENSE 374 Professor</w:t>
            </w:r>
            <w:r w:rsidDel="00000000" w:rsidR="00000000" w:rsidRPr="00000000">
              <w:rPr>
                <w:rtl w:val="0"/>
              </w:rPr>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26">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Manager</w:t>
            </w:r>
          </w:p>
        </w:tc>
        <w:tc>
          <w:tcPr>
            <w:gridSpan w:val="2"/>
            <w:tcBorders>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Fenner Froillo Raquinio, Project Manager</w:t>
            </w:r>
          </w:p>
        </w:tc>
      </w:tr>
      <w:tr>
        <w:trPr>
          <w:cantSplit w:val="0"/>
          <w:trHeight w:val="400" w:hRule="atLeast"/>
          <w:tblHeader w:val="0"/>
        </w:trPr>
        <w:tc>
          <w:tcPr>
            <w:gridSpan w:val="3"/>
            <w:shd w:fill="d9d9d9"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Additional Key Project Stakeholders</w:t>
            </w:r>
          </w:p>
        </w:tc>
      </w:tr>
      <w:tr>
        <w:trPr>
          <w:cantSplit w:val="0"/>
          <w:trHeight w:val="40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2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Users - Individuals or businesses who could utilize Budget.io for personal or financial management. </w:t>
            </w:r>
          </w:p>
        </w:tc>
      </w:tr>
      <w:tr>
        <w:trPr>
          <w:cantSplit w:val="0"/>
          <w:trHeight w:val="40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2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Developers - Individuals or teams responsible for app maintenance, updates and new feature developments.</w:t>
            </w:r>
          </w:p>
        </w:tc>
      </w:tr>
      <w:tr>
        <w:trPr>
          <w:cantSplit w:val="0"/>
          <w:trHeight w:val="40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3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Marketing Team - Responsible for promoting Budget.io, attracting new users and retaining existing ones.</w:t>
            </w:r>
          </w:p>
        </w:tc>
      </w:tr>
      <w:tr>
        <w:trPr>
          <w:cantSplit w:val="0"/>
          <w:trHeight w:val="40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3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Regulatory Compliance Officers - Group that ensures the app adheres to financial regulations and standards.</w:t>
            </w:r>
          </w:p>
        </w:tc>
      </w:tr>
      <w:tr>
        <w:trPr>
          <w:cantSplit w:val="0"/>
          <w:trHeight w:val="400" w:hRule="atLeast"/>
          <w:tblHeader w:val="0"/>
        </w:trPr>
        <w:tc>
          <w:tcPr>
            <w:gridSpan w:val="2"/>
            <w:tcBorders>
              <w:bottom w:color="000000" w:space="0" w:sz="8" w:val="single"/>
              <w:right w:color="000000" w:space="0" w:sz="0" w:val="nil"/>
            </w:tcBorders>
            <w:shd w:fill="d9d9d9"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Overall Project Milestones</w:t>
            </w:r>
          </w:p>
        </w:tc>
        <w:tc>
          <w:tcPr>
            <w:tcBorders>
              <w:lef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3A">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Dates</w:t>
            </w:r>
          </w:p>
        </w:tc>
      </w:tr>
      <w:tr>
        <w:trPr>
          <w:cantSplit w:val="0"/>
          <w:trHeight w:val="400" w:hRule="atLeast"/>
          <w:tblHeader w:val="0"/>
        </w:trPr>
        <w:tc>
          <w:tcPr>
            <w:gridSpan w:val="2"/>
            <w:tcBorders>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Business case/requirements established</w:t>
            </w:r>
          </w:p>
        </w:tc>
        <w:tc>
          <w:tcPr>
            <w:tcBorders>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September 21,2023</w:t>
            </w:r>
          </w:p>
        </w:tc>
      </w:tr>
      <w:tr>
        <w:trPr>
          <w:cantSplit w:val="0"/>
          <w:trHeight w:val="400" w:hRule="atLeast"/>
          <w:tblHeader w:val="0"/>
        </w:trPr>
        <w:tc>
          <w:tcPr>
            <w:gridSpan w:val="2"/>
            <w:tcBorders>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Lo-fi prototype</w:t>
            </w:r>
          </w:p>
        </w:tc>
        <w:tc>
          <w:tcPr>
            <w:tcBorders>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October 3, 2023</w:t>
            </w:r>
          </w:p>
        </w:tc>
      </w:tr>
      <w:tr>
        <w:trPr>
          <w:cantSplit w:val="0"/>
          <w:trHeight w:val="400" w:hRule="atLeast"/>
          <w:tblHeader w:val="0"/>
        </w:trPr>
        <w:tc>
          <w:tcPr>
            <w:gridSpan w:val="2"/>
            <w:tcBorders>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Hi-fi prototype</w:t>
            </w:r>
          </w:p>
        </w:tc>
        <w:tc>
          <w:tcPr>
            <w:tcBorders>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October 10, 2023</w:t>
            </w:r>
          </w:p>
        </w:tc>
      </w:tr>
      <w:tr>
        <w:trPr>
          <w:cantSplit w:val="0"/>
          <w:trHeight w:val="400" w:hRule="atLeast"/>
          <w:tblHeader w:val="0"/>
        </w:trPr>
        <w:tc>
          <w:tcPr>
            <w:gridSpan w:val="2"/>
            <w:tcBorders>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Website foundation established</w:t>
            </w:r>
          </w:p>
        </w:tc>
        <w:tc>
          <w:tcPr>
            <w:tcBorders>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October 17,2023</w:t>
            </w:r>
          </w:p>
        </w:tc>
      </w:tr>
      <w:tr>
        <w:trPr>
          <w:cantSplit w:val="0"/>
          <w:trHeight w:val="400" w:hRule="atLeast"/>
          <w:tblHeader w:val="0"/>
        </w:trPr>
        <w:tc>
          <w:tcPr>
            <w:gridSpan w:val="2"/>
            <w:tcBorders>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Core features developed</w:t>
            </w:r>
          </w:p>
        </w:tc>
        <w:tc>
          <w:tcPr>
            <w:tcBorders>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October 24, 2023</w:t>
            </w:r>
          </w:p>
        </w:tc>
      </w:tr>
      <w:tr>
        <w:trPr>
          <w:cantSplit w:val="0"/>
          <w:trHeight w:val="400" w:hRule="atLeast"/>
          <w:tblHeader w:val="0"/>
        </w:trPr>
        <w:tc>
          <w:tcPr>
            <w:gridSpan w:val="2"/>
            <w:tcBorders>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Integration with financial institutions implemented</w:t>
            </w:r>
          </w:p>
        </w:tc>
        <w:tc>
          <w:tcPr>
            <w:tcBorders>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November 7, 2023</w:t>
            </w:r>
          </w:p>
        </w:tc>
      </w:tr>
      <w:tr>
        <w:trPr>
          <w:cantSplit w:val="0"/>
          <w:trHeight w:val="400" w:hRule="atLeast"/>
          <w:tblHeader w:val="0"/>
        </w:trPr>
        <w:tc>
          <w:tcPr>
            <w:gridSpan w:val="2"/>
            <w:tcBorders>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User documentation complete</w:t>
            </w:r>
          </w:p>
        </w:tc>
        <w:tc>
          <w:tcPr>
            <w:tcBorders>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November 16, 2023</w:t>
            </w:r>
          </w:p>
        </w:tc>
      </w:tr>
      <w:tr>
        <w:trPr>
          <w:cantSplit w:val="0"/>
          <w:trHeight w:val="400" w:hRule="atLeast"/>
          <w:tblHeader w:val="0"/>
        </w:trPr>
        <w:tc>
          <w:tcPr>
            <w:gridSpan w:val="2"/>
            <w:tcBorders>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Final Testing and quality assurance</w:t>
            </w:r>
          </w:p>
        </w:tc>
        <w:tc>
          <w:tcPr>
            <w:tcBorders>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November 24, 2023</w:t>
            </w:r>
          </w:p>
        </w:tc>
      </w:tr>
      <w:tr>
        <w:trPr>
          <w:cantSplit w:val="0"/>
          <w:trHeight w:val="400" w:hRule="atLeast"/>
          <w:tblHeader w:val="0"/>
        </w:trPr>
        <w:tc>
          <w:tcPr>
            <w:gridSpan w:val="3"/>
            <w:shd w:fill="d9d9d9"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Overall Project Risks</w:t>
            </w:r>
          </w:p>
        </w:tc>
      </w:tr>
      <w:tr>
        <w:trPr>
          <w:cantSplit w:val="0"/>
          <w:trHeight w:val="40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5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Potential vulnerabilities in data security during integration with financial institutions.</w:t>
            </w:r>
          </w:p>
        </w:tc>
      </w:tr>
      <w:tr>
        <w:trPr>
          <w:cantSplit w:val="0"/>
          <w:trHeight w:val="40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5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Changes in financial regulations affecting the app’s compliance. </w:t>
            </w:r>
          </w:p>
        </w:tc>
      </w:tr>
      <w:tr>
        <w:trPr>
          <w:cantSplit w:val="0"/>
          <w:trHeight w:val="40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5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Resistance or challenges in user adoption of the app.</w:t>
            </w:r>
          </w:p>
        </w:tc>
      </w:tr>
    </w:tbl>
    <w:p w:rsidR="00000000" w:rsidDel="00000000" w:rsidP="00000000" w:rsidRDefault="00000000" w:rsidRPr="00000000" w14:paraId="0000005F">
      <w:pPr>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A59C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iwsEJOn49ILoQzXImeFBK6LW7w==">CgMxLjA4AHIhMU5aSTlKNWhvUEk3QTFydUVxcHhSRDJ3ZGhaODN5Vndi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2021-06-29T15:11:00Z</dcterms:created>
  <dc:creator>Dave Barrett</dc:creator>
</cp:coreProperties>
</file>